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ascii="黑体" w:hAnsi="宋体" w:eastAsia="黑体" w:cs="黑体"/>
          <w:sz w:val="32"/>
          <w:szCs w:val="32"/>
          <w:bdr w:val="none" w:color="auto" w:sz="0" w:space="0"/>
          <w:shd w:val="clear" w:fill="FFFFFF"/>
        </w:rPr>
        <w:t>2018</w:t>
      </w:r>
      <w:r>
        <w:rPr>
          <w:rFonts w:hint="eastAsia" w:ascii="黑体" w:hAnsi="宋体" w:eastAsia="黑体" w:cs="黑体"/>
          <w:sz w:val="32"/>
          <w:szCs w:val="32"/>
          <w:bdr w:val="none" w:color="auto" w:sz="0" w:space="0"/>
          <w:shd w:val="clear" w:fill="FFFFFF"/>
        </w:rPr>
        <w:t>年江苏省宜兴市教育系统公开招聘事业编制中小学教师</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bdr w:val="none" w:color="auto" w:sz="0" w:space="0"/>
          <w:shd w:val="clear" w:fill="FFFFFF"/>
        </w:rPr>
        <w:t>第一阶段考试形式、内容一览表</w:t>
      </w:r>
    </w:p>
    <w:tbl>
      <w:tblPr>
        <w:tblW w:w="95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77"/>
        <w:gridCol w:w="1080"/>
        <w:gridCol w:w="2403"/>
        <w:gridCol w:w="3544"/>
        <w:gridCol w:w="8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6" w:hRule="atLeast"/>
        </w:trPr>
        <w:tc>
          <w:tcPr>
            <w:tcW w:w="1677" w:type="dxa"/>
            <w:tcBorders>
              <w:top w:val="single" w:color="auto" w:sz="8" w:space="0"/>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招聘岗位名称</w:t>
            </w:r>
          </w:p>
        </w:tc>
        <w:tc>
          <w:tcPr>
            <w:tcW w:w="1080" w:type="dxa"/>
            <w:tcBorders>
              <w:top w:val="single" w:color="333333" w:sz="8" w:space="0"/>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考试形式</w:t>
            </w:r>
          </w:p>
        </w:tc>
        <w:tc>
          <w:tcPr>
            <w:tcW w:w="2403" w:type="dxa"/>
            <w:tcBorders>
              <w:top w:val="single" w:color="333333" w:sz="8" w:space="0"/>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考试内容</w:t>
            </w:r>
          </w:p>
        </w:tc>
        <w:tc>
          <w:tcPr>
            <w:tcW w:w="3544" w:type="dxa"/>
            <w:tcBorders>
              <w:top w:val="single" w:color="333333" w:sz="8" w:space="0"/>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范围及要求</w:t>
            </w:r>
          </w:p>
        </w:tc>
        <w:tc>
          <w:tcPr>
            <w:tcW w:w="851" w:type="dxa"/>
            <w:tcBorders>
              <w:top w:val="single" w:color="333333" w:sz="8" w:space="0"/>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01" w:hRule="atLeast"/>
        </w:trPr>
        <w:tc>
          <w:tcPr>
            <w:tcW w:w="1677" w:type="dxa"/>
            <w:tcBorders>
              <w:top w:val="nil"/>
              <w:left w:val="single" w:color="333333" w:sz="8" w:space="0"/>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语文、数学、英语、物理、化学、生物、政治、历史、地理、小学科学、特殊教育、教育心理学教师</w:t>
            </w:r>
          </w:p>
        </w:tc>
        <w:tc>
          <w:tcPr>
            <w:tcW w:w="1080"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笔试</w:t>
            </w:r>
          </w:p>
        </w:tc>
        <w:tc>
          <w:tcPr>
            <w:tcW w:w="2403"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教育公共知识和学科专业知识</w:t>
            </w:r>
          </w:p>
        </w:tc>
        <w:tc>
          <w:tcPr>
            <w:tcW w:w="3544"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教育公共知识包括课程改革理论、教育学与心理学及其他综合知识等，主要考查应聘人员对教育学、心理学、教育法规和教师职业道德修养等相关知识的掌握情况。学科专业知识主要考查应聘人员作为中小学教师应具备的专业知识和综合运用能力。</w:t>
            </w:r>
          </w:p>
        </w:tc>
        <w:tc>
          <w:tcPr>
            <w:tcW w:w="851" w:type="dxa"/>
            <w:vMerge w:val="restart"/>
            <w:tcBorders>
              <w:top w:val="nil"/>
              <w:left w:val="nil"/>
              <w:bottom w:val="single" w:color="333333" w:sz="1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与无锡市区2018年教师招聘笔试同步进行；宜兴市组织考试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01" w:hRule="atLeast"/>
        </w:trPr>
        <w:tc>
          <w:tcPr>
            <w:tcW w:w="1677" w:type="dxa"/>
            <w:tcBorders>
              <w:top w:val="nil"/>
              <w:left w:val="single" w:color="333333" w:sz="8" w:space="0"/>
              <w:bottom w:val="single" w:color="333333" w:sz="1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音乐、体育、美术、信息技术、艺术设计、电工电子、建筑、汽车工程、电子商务教师</w:t>
            </w:r>
          </w:p>
        </w:tc>
        <w:tc>
          <w:tcPr>
            <w:tcW w:w="1080" w:type="dxa"/>
            <w:tcBorders>
              <w:top w:val="nil"/>
              <w:left w:val="nil"/>
              <w:bottom w:val="single" w:color="333333" w:sz="1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笔试</w:t>
            </w:r>
          </w:p>
        </w:tc>
        <w:tc>
          <w:tcPr>
            <w:tcW w:w="2403" w:type="dxa"/>
            <w:tcBorders>
              <w:top w:val="nil"/>
              <w:left w:val="nil"/>
              <w:bottom w:val="single" w:color="333333" w:sz="1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教育公共知识</w:t>
            </w:r>
          </w:p>
        </w:tc>
        <w:tc>
          <w:tcPr>
            <w:tcW w:w="3544" w:type="dxa"/>
            <w:tcBorders>
              <w:top w:val="nil"/>
              <w:left w:val="nil"/>
              <w:bottom w:val="single" w:color="333333" w:sz="1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教育公共知识包括课程改革理论、教育学与心理学及其他综合知识等，主要考查应聘人员对教育学、心理学、教育法规和教师职业道德修养等相关知识的掌握情况。</w:t>
            </w:r>
          </w:p>
        </w:tc>
        <w:tc>
          <w:tcPr>
            <w:tcW w:w="851" w:type="dxa"/>
            <w:vMerge w:val="continue"/>
            <w:tcBorders>
              <w:top w:val="nil"/>
              <w:left w:val="nil"/>
              <w:bottom w:val="single" w:color="333333" w:sz="18" w:space="0"/>
              <w:right w:val="single" w:color="333333" w:sz="8" w:space="0"/>
            </w:tcBorders>
            <w:shd w:val="clear"/>
            <w:tcMar>
              <w:left w:w="57" w:type="dxa"/>
              <w:right w:w="57" w:type="dxa"/>
            </w:tcMar>
            <w:vAlign w:val="center"/>
          </w:tcPr>
          <w:p>
            <w:pPr>
              <w:rPr>
                <w:rFonts w:hint="eastAsia" w:ascii="宋体" w:hAnsi="宋体" w:eastAsia="宋体" w:cs="宋体"/>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6" w:hRule="atLeast"/>
        </w:trPr>
        <w:tc>
          <w:tcPr>
            <w:tcW w:w="1677" w:type="dxa"/>
            <w:tcBorders>
              <w:top w:val="nil"/>
              <w:left w:val="single" w:color="333333" w:sz="8" w:space="0"/>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音乐教师</w:t>
            </w:r>
          </w:p>
        </w:tc>
        <w:tc>
          <w:tcPr>
            <w:tcW w:w="1080"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专业技能测试</w:t>
            </w:r>
          </w:p>
        </w:tc>
        <w:tc>
          <w:tcPr>
            <w:tcW w:w="2403"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钢琴自弹自唱、声乐、器乐</w:t>
            </w:r>
          </w:p>
        </w:tc>
        <w:tc>
          <w:tcPr>
            <w:tcW w:w="3544"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钢琴自弹自唱现场指定曲目，声乐、器乐曲目自定，器乐除钢琴外其他乐器自备（技能测试成绩中，钢琴自弹自唱占40%，其他两项各占30%）</w:t>
            </w:r>
          </w:p>
        </w:tc>
        <w:tc>
          <w:tcPr>
            <w:tcW w:w="851" w:type="dxa"/>
            <w:vMerge w:val="restart"/>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宜兴市组织考试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trPr>
        <w:tc>
          <w:tcPr>
            <w:tcW w:w="1677" w:type="dxa"/>
            <w:tcBorders>
              <w:top w:val="nil"/>
              <w:left w:val="single" w:color="333333" w:sz="8" w:space="0"/>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体育教师</w:t>
            </w:r>
          </w:p>
        </w:tc>
        <w:tc>
          <w:tcPr>
            <w:tcW w:w="1080"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专业技能测试</w:t>
            </w:r>
          </w:p>
        </w:tc>
        <w:tc>
          <w:tcPr>
            <w:tcW w:w="2403"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队列练习、田径、球类（或技巧）</w:t>
            </w:r>
          </w:p>
        </w:tc>
        <w:tc>
          <w:tcPr>
            <w:tcW w:w="3544"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队列练习：占15%；</w:t>
            </w:r>
          </w:p>
          <w:p>
            <w:pPr>
              <w:pStyle w:val="2"/>
              <w:keepNext w:val="0"/>
              <w:keepLines w:val="0"/>
              <w:widowControl/>
              <w:suppressLineNumbers w:val="0"/>
              <w:spacing w:before="0" w:beforeAutospacing="0" w:after="0" w:afterAutospacing="0" w:line="22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田径：跑、跳、掷，指定考核其中的一项，占50%；</w:t>
            </w:r>
          </w:p>
          <w:p>
            <w:pPr>
              <w:pStyle w:val="2"/>
              <w:keepNext w:val="0"/>
              <w:keepLines w:val="0"/>
              <w:widowControl/>
              <w:suppressLineNumbers w:val="0"/>
              <w:spacing w:before="0" w:beforeAutospacing="0" w:after="0" w:afterAutospacing="0" w:line="22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球类：篮球、排球、足球（指定考核其中的一项）；技巧：前滚翻、后滚翻、头手倒立（男）、肩肘倒立（女）（指定考核其中的一项）；球类（或技巧）占35%。</w:t>
            </w:r>
          </w:p>
        </w:tc>
        <w:tc>
          <w:tcPr>
            <w:tcW w:w="851" w:type="dxa"/>
            <w:vMerge w:val="continue"/>
            <w:tcBorders>
              <w:top w:val="nil"/>
              <w:left w:val="nil"/>
              <w:bottom w:val="single" w:color="333333" w:sz="8" w:space="0"/>
              <w:right w:val="single" w:color="333333" w:sz="8" w:space="0"/>
            </w:tcBorders>
            <w:shd w:val="clear"/>
            <w:tcMar>
              <w:left w:w="57" w:type="dxa"/>
              <w:right w:w="57" w:type="dxa"/>
            </w:tcMar>
            <w:vAlign w:val="center"/>
          </w:tcPr>
          <w:p>
            <w:pPr>
              <w:rPr>
                <w:rFonts w:hint="eastAsia" w:ascii="宋体" w:hAnsi="宋体" w:eastAsia="宋体" w:cs="宋体"/>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3" w:hRule="atLeast"/>
        </w:trPr>
        <w:tc>
          <w:tcPr>
            <w:tcW w:w="1677" w:type="dxa"/>
            <w:tcBorders>
              <w:top w:val="nil"/>
              <w:left w:val="single" w:color="333333" w:sz="8" w:space="0"/>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美术教师</w:t>
            </w:r>
          </w:p>
        </w:tc>
        <w:tc>
          <w:tcPr>
            <w:tcW w:w="1080"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专业技能测试</w:t>
            </w:r>
          </w:p>
        </w:tc>
        <w:tc>
          <w:tcPr>
            <w:tcW w:w="2403"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色彩、素描</w:t>
            </w:r>
          </w:p>
        </w:tc>
        <w:tc>
          <w:tcPr>
            <w:tcW w:w="3544"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现场命题，限时完成，画具及4开画纸自备；色彩与素描各占50%。</w:t>
            </w:r>
          </w:p>
        </w:tc>
        <w:tc>
          <w:tcPr>
            <w:tcW w:w="851" w:type="dxa"/>
            <w:vMerge w:val="continue"/>
            <w:tcBorders>
              <w:top w:val="nil"/>
              <w:left w:val="nil"/>
              <w:bottom w:val="single" w:color="333333" w:sz="8" w:space="0"/>
              <w:right w:val="single" w:color="333333" w:sz="8" w:space="0"/>
            </w:tcBorders>
            <w:shd w:val="clear"/>
            <w:tcMar>
              <w:left w:w="57" w:type="dxa"/>
              <w:right w:w="57" w:type="dxa"/>
            </w:tcMar>
            <w:vAlign w:val="center"/>
          </w:tcPr>
          <w:p>
            <w:pPr>
              <w:rPr>
                <w:rFonts w:hint="eastAsia" w:ascii="宋体" w:hAnsi="宋体" w:eastAsia="宋体" w:cs="宋体"/>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8" w:hRule="atLeast"/>
        </w:trPr>
        <w:tc>
          <w:tcPr>
            <w:tcW w:w="1677" w:type="dxa"/>
            <w:tcBorders>
              <w:top w:val="nil"/>
              <w:left w:val="single" w:color="333333" w:sz="8" w:space="0"/>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信息技术教师</w:t>
            </w:r>
          </w:p>
        </w:tc>
        <w:tc>
          <w:tcPr>
            <w:tcW w:w="1080"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专业技能测试</w:t>
            </w:r>
          </w:p>
        </w:tc>
        <w:tc>
          <w:tcPr>
            <w:tcW w:w="2403"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信息技术基础知识和专业技能操作</w:t>
            </w:r>
          </w:p>
        </w:tc>
        <w:tc>
          <w:tcPr>
            <w:tcW w:w="3544"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参见《2018年江苏省普通高中信息技术学业水平测试说明》</w:t>
            </w:r>
          </w:p>
        </w:tc>
        <w:tc>
          <w:tcPr>
            <w:tcW w:w="851" w:type="dxa"/>
            <w:vMerge w:val="continue"/>
            <w:tcBorders>
              <w:top w:val="nil"/>
              <w:left w:val="nil"/>
              <w:bottom w:val="single" w:color="333333" w:sz="8" w:space="0"/>
              <w:right w:val="single" w:color="333333" w:sz="8" w:space="0"/>
            </w:tcBorders>
            <w:shd w:val="clear"/>
            <w:tcMar>
              <w:left w:w="57" w:type="dxa"/>
              <w:right w:w="57" w:type="dxa"/>
            </w:tcMar>
            <w:vAlign w:val="center"/>
          </w:tcPr>
          <w:p>
            <w:pPr>
              <w:rPr>
                <w:rFonts w:hint="eastAsia" w:ascii="宋体" w:hAnsi="宋体" w:eastAsia="宋体" w:cs="宋体"/>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4" w:hRule="atLeast"/>
        </w:trPr>
        <w:tc>
          <w:tcPr>
            <w:tcW w:w="1677" w:type="dxa"/>
            <w:tcBorders>
              <w:top w:val="nil"/>
              <w:left w:val="single" w:color="333333" w:sz="8" w:space="0"/>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艺术设计教师</w:t>
            </w:r>
          </w:p>
        </w:tc>
        <w:tc>
          <w:tcPr>
            <w:tcW w:w="1080"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专业技能测试</w:t>
            </w:r>
          </w:p>
        </w:tc>
        <w:tc>
          <w:tcPr>
            <w:tcW w:w="2403"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艺术设计创意</w:t>
            </w:r>
          </w:p>
        </w:tc>
        <w:tc>
          <w:tcPr>
            <w:tcW w:w="3544"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利用绘图工具完成技法类的艺术创意设计，合理安排空间功能，完整绘制空间立面。</w:t>
            </w:r>
          </w:p>
        </w:tc>
        <w:tc>
          <w:tcPr>
            <w:tcW w:w="851" w:type="dxa"/>
            <w:vMerge w:val="continue"/>
            <w:tcBorders>
              <w:top w:val="nil"/>
              <w:left w:val="nil"/>
              <w:bottom w:val="single" w:color="333333" w:sz="8" w:space="0"/>
              <w:right w:val="single" w:color="333333" w:sz="8" w:space="0"/>
            </w:tcBorders>
            <w:shd w:val="clear"/>
            <w:tcMar>
              <w:left w:w="57" w:type="dxa"/>
              <w:right w:w="57" w:type="dxa"/>
            </w:tcMar>
            <w:vAlign w:val="center"/>
          </w:tcPr>
          <w:p>
            <w:pPr>
              <w:rPr>
                <w:rFonts w:hint="eastAsia" w:ascii="宋体" w:hAnsi="宋体" w:eastAsia="宋体" w:cs="宋体"/>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92" w:hRule="atLeast"/>
        </w:trPr>
        <w:tc>
          <w:tcPr>
            <w:tcW w:w="1677" w:type="dxa"/>
            <w:tcBorders>
              <w:top w:val="nil"/>
              <w:left w:val="single" w:color="333333" w:sz="8" w:space="0"/>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电工电子教师</w:t>
            </w:r>
          </w:p>
        </w:tc>
        <w:tc>
          <w:tcPr>
            <w:tcW w:w="1080"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专业技能测试</w:t>
            </w:r>
          </w:p>
        </w:tc>
        <w:tc>
          <w:tcPr>
            <w:tcW w:w="2403"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机电一体化设备组装与调试</w:t>
            </w:r>
          </w:p>
        </w:tc>
        <w:tc>
          <w:tcPr>
            <w:tcW w:w="3544"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国家职业资格四级（中级）要求；现场完成机械部件组装、电路连接、气路连接和整机调试。</w:t>
            </w:r>
          </w:p>
        </w:tc>
        <w:tc>
          <w:tcPr>
            <w:tcW w:w="851" w:type="dxa"/>
            <w:vMerge w:val="continue"/>
            <w:tcBorders>
              <w:top w:val="nil"/>
              <w:left w:val="nil"/>
              <w:bottom w:val="single" w:color="333333" w:sz="8" w:space="0"/>
              <w:right w:val="single" w:color="333333" w:sz="8" w:space="0"/>
            </w:tcBorders>
            <w:shd w:val="clear"/>
            <w:tcMar>
              <w:left w:w="57" w:type="dxa"/>
              <w:right w:w="57" w:type="dxa"/>
            </w:tcMar>
            <w:vAlign w:val="center"/>
          </w:tcPr>
          <w:p>
            <w:pPr>
              <w:rPr>
                <w:rFonts w:hint="eastAsia" w:ascii="宋体" w:hAnsi="宋体" w:eastAsia="宋体" w:cs="宋体"/>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1677" w:type="dxa"/>
            <w:tcBorders>
              <w:top w:val="nil"/>
              <w:left w:val="single" w:color="333333" w:sz="8" w:space="0"/>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建筑教师</w:t>
            </w:r>
          </w:p>
        </w:tc>
        <w:tc>
          <w:tcPr>
            <w:tcW w:w="1080"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专业技能测试</w:t>
            </w:r>
          </w:p>
        </w:tc>
        <w:tc>
          <w:tcPr>
            <w:tcW w:w="2403"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建筑CAD与工程测量</w:t>
            </w:r>
          </w:p>
        </w:tc>
        <w:tc>
          <w:tcPr>
            <w:tcW w:w="3544"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能应用指定的计算机绘图软件——中望CAD教育版（2018）处理土木工程技术图纸绘制的各类问题。按照国家职业资格四级（中级）要求，用自动安平水准仪进行水准测量；利用全站仪进行导线测量（角度和距离测量）。</w:t>
            </w:r>
          </w:p>
        </w:tc>
        <w:tc>
          <w:tcPr>
            <w:tcW w:w="851" w:type="dxa"/>
            <w:vMerge w:val="continue"/>
            <w:tcBorders>
              <w:top w:val="nil"/>
              <w:left w:val="nil"/>
              <w:bottom w:val="single" w:color="333333" w:sz="8" w:space="0"/>
              <w:right w:val="single" w:color="333333" w:sz="8" w:space="0"/>
            </w:tcBorders>
            <w:shd w:val="clear"/>
            <w:tcMar>
              <w:left w:w="57" w:type="dxa"/>
              <w:right w:w="57" w:type="dxa"/>
            </w:tcMar>
            <w:vAlign w:val="center"/>
          </w:tcPr>
          <w:p>
            <w:pPr>
              <w:rPr>
                <w:rFonts w:hint="eastAsia" w:ascii="宋体" w:hAnsi="宋体" w:eastAsia="宋体" w:cs="宋体"/>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1677" w:type="dxa"/>
            <w:tcBorders>
              <w:top w:val="nil"/>
              <w:left w:val="single" w:color="333333" w:sz="8" w:space="0"/>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汽车工程教师</w:t>
            </w:r>
          </w:p>
        </w:tc>
        <w:tc>
          <w:tcPr>
            <w:tcW w:w="1080"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专业技能测试</w:t>
            </w:r>
          </w:p>
        </w:tc>
        <w:tc>
          <w:tcPr>
            <w:tcW w:w="2403"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汽车故障诊断与排除及拆装</w:t>
            </w:r>
          </w:p>
        </w:tc>
        <w:tc>
          <w:tcPr>
            <w:tcW w:w="3544"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国家职业资格四级（中级）要求，按照维修手册的规范，在规定时间内完成作业的流程，发现和确认故障点，按照裁判现场要求排除故障，并完整准确填写《汽车故障诊断作业表》；在规定时间内完成发动机、曲柄连杆机构拆解、检查和组装。</w:t>
            </w:r>
          </w:p>
        </w:tc>
        <w:tc>
          <w:tcPr>
            <w:tcW w:w="851" w:type="dxa"/>
            <w:vMerge w:val="continue"/>
            <w:tcBorders>
              <w:top w:val="nil"/>
              <w:left w:val="nil"/>
              <w:bottom w:val="single" w:color="333333" w:sz="8" w:space="0"/>
              <w:right w:val="single" w:color="333333" w:sz="8" w:space="0"/>
            </w:tcBorders>
            <w:shd w:val="clear"/>
            <w:tcMar>
              <w:left w:w="57" w:type="dxa"/>
              <w:right w:w="57" w:type="dxa"/>
            </w:tcMar>
            <w:vAlign w:val="center"/>
          </w:tcPr>
          <w:p>
            <w:pPr>
              <w:rPr>
                <w:rFonts w:hint="eastAsia" w:ascii="宋体" w:hAnsi="宋体" w:eastAsia="宋体" w:cs="宋体"/>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1677" w:type="dxa"/>
            <w:tcBorders>
              <w:top w:val="nil"/>
              <w:left w:val="single" w:color="333333" w:sz="8" w:space="0"/>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电子商务教师</w:t>
            </w:r>
          </w:p>
        </w:tc>
        <w:tc>
          <w:tcPr>
            <w:tcW w:w="1080"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专业技能测试</w:t>
            </w:r>
          </w:p>
        </w:tc>
        <w:tc>
          <w:tcPr>
            <w:tcW w:w="2403"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PC端网店开设与运营</w:t>
            </w:r>
          </w:p>
        </w:tc>
        <w:tc>
          <w:tcPr>
            <w:tcW w:w="3544" w:type="dxa"/>
            <w:tcBorders>
              <w:top w:val="nil"/>
              <w:left w:val="nil"/>
              <w:bottom w:val="single" w:color="333333" w:sz="8" w:space="0"/>
              <w:right w:val="single" w:color="333333" w:sz="8" w:space="0"/>
            </w:tcBorders>
            <w:shd w:val="clear"/>
            <w:tcMar>
              <w:left w:w="57" w:type="dxa"/>
              <w:right w:w="57"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在天行健君电子商务模拟教学系统上进行PC端网店的开设与运营设计，包含网店招牌、网店导航、网店广告、网店商品分类、商品详情页图文设计、网店活动主题等设计与操作。</w:t>
            </w:r>
          </w:p>
        </w:tc>
        <w:tc>
          <w:tcPr>
            <w:tcW w:w="851" w:type="dxa"/>
            <w:vMerge w:val="continue"/>
            <w:tcBorders>
              <w:top w:val="nil"/>
              <w:left w:val="nil"/>
              <w:bottom w:val="single" w:color="333333" w:sz="8" w:space="0"/>
              <w:right w:val="single" w:color="333333" w:sz="8" w:space="0"/>
            </w:tcBorders>
            <w:shd w:val="clear"/>
            <w:tcMar>
              <w:left w:w="57" w:type="dxa"/>
              <w:right w:w="57" w:type="dxa"/>
            </w:tcMar>
            <w:vAlign w:val="center"/>
          </w:tcPr>
          <w:p>
            <w:pPr>
              <w:rPr>
                <w:rFonts w:hint="eastAsia" w:ascii="宋体" w:hAnsi="宋体" w:eastAsia="宋体" w:cs="宋体"/>
                <w:sz w:val="19"/>
                <w:szCs w:val="19"/>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5217A"/>
    <w:rsid w:val="6051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Emphasis"/>
    <w:basedOn w:val="3"/>
    <w:qFormat/>
    <w:uiPriority w:val="0"/>
  </w:style>
  <w:style w:type="character" w:styleId="7">
    <w:name w:val="HTML Definition"/>
    <w:basedOn w:val="3"/>
    <w:uiPriority w:val="0"/>
  </w:style>
  <w:style w:type="character" w:styleId="8">
    <w:name w:val="HTML Variable"/>
    <w:basedOn w:val="3"/>
    <w:uiPriority w:val="0"/>
  </w:style>
  <w:style w:type="character" w:styleId="9">
    <w:name w:val="Hyperlink"/>
    <w:basedOn w:val="3"/>
    <w:qFormat/>
    <w:uiPriority w:val="0"/>
    <w:rPr>
      <w:color w:val="000000"/>
      <w:u w:val="none"/>
    </w:rPr>
  </w:style>
  <w:style w:type="character" w:styleId="10">
    <w:name w:val="HTML Cite"/>
    <w:basedOn w:val="3"/>
    <w:uiPriority w:val="0"/>
  </w:style>
  <w:style w:type="paragraph" w:customStyle="1" w:styleId="12">
    <w:name w:val="_Style 7"/>
    <w:basedOn w:val="1"/>
    <w:next w:val="1"/>
    <w:uiPriority w:val="0"/>
    <w:pPr>
      <w:pBdr>
        <w:bottom w:val="single" w:color="auto" w:sz="6" w:space="1"/>
      </w:pBdr>
      <w:jc w:val="center"/>
    </w:pPr>
    <w:rPr>
      <w:rFonts w:ascii="Arial" w:eastAsia="宋体"/>
      <w:vanish/>
      <w:sz w:val="16"/>
    </w:rPr>
  </w:style>
  <w:style w:type="paragraph" w:customStyle="1" w:styleId="13">
    <w:name w:val="_Style 8"/>
    <w:basedOn w:val="1"/>
    <w:next w:val="1"/>
    <w:uiPriority w:val="0"/>
    <w:pPr>
      <w:pBdr>
        <w:top w:val="single" w:color="auto" w:sz="6" w:space="1"/>
      </w:pBdr>
      <w:jc w:val="center"/>
    </w:pPr>
    <w:rPr>
      <w:rFonts w:ascii="Arial" w:eastAsia="宋体"/>
      <w:vanish/>
      <w:sz w:val="16"/>
    </w:rPr>
  </w:style>
  <w:style w:type="character" w:customStyle="1" w:styleId="14">
    <w:name w:val="hover8"/>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2018-02-01T03:59:36Z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