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C17AD">
      <w:pPr>
        <w:spacing w:line="380" w:lineRule="exact"/>
        <w:rPr>
          <w:rFonts w:hint="eastAsia" w:ascii="仿宋_GB2312" w:eastAsia="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1865066A">
      <w:pPr>
        <w:spacing w:line="380" w:lineRule="exact"/>
        <w:jc w:val="center"/>
        <w:rPr>
          <w:rFonts w:hint="eastAsia" w:ascii="黑体" w:hAnsi="黑体" w:eastAsia="黑体" w:cs="黑体"/>
          <w:sz w:val="32"/>
          <w:szCs w:val="32"/>
        </w:rPr>
      </w:pPr>
      <w:r>
        <w:rPr>
          <w:rFonts w:hint="eastAsia" w:ascii="黑体" w:hAnsi="黑体" w:eastAsia="黑体" w:cs="黑体"/>
          <w:sz w:val="32"/>
          <w:szCs w:val="32"/>
        </w:rPr>
        <w:t>嵊州市普通高中学校招聘优秀高校毕业生</w:t>
      </w:r>
    </w:p>
    <w:p w14:paraId="76B3DDAE">
      <w:pPr>
        <w:spacing w:line="380" w:lineRule="exact"/>
        <w:jc w:val="center"/>
        <w:rPr>
          <w:rFonts w:hint="eastAsia" w:ascii="黑体" w:hAnsi="黑体" w:eastAsia="黑体" w:cs="黑体"/>
          <w:sz w:val="32"/>
          <w:szCs w:val="32"/>
        </w:rPr>
      </w:pPr>
      <w:r>
        <w:rPr>
          <w:rFonts w:hint="eastAsia" w:ascii="黑体" w:hAnsi="黑体" w:eastAsia="黑体" w:cs="黑体"/>
          <w:sz w:val="32"/>
          <w:szCs w:val="32"/>
        </w:rPr>
        <w:t>有关待遇一览表</w:t>
      </w:r>
    </w:p>
    <w:tbl>
      <w:tblPr>
        <w:tblStyle w:val="15"/>
        <w:tblW w:w="9638" w:type="dxa"/>
        <w:jc w:val="center"/>
        <w:tblLayout w:type="fixed"/>
        <w:tblCellMar>
          <w:top w:w="0" w:type="dxa"/>
          <w:left w:w="108" w:type="dxa"/>
          <w:bottom w:w="0" w:type="dxa"/>
          <w:right w:w="108" w:type="dxa"/>
        </w:tblCellMar>
      </w:tblPr>
      <w:tblGrid>
        <w:gridCol w:w="4667"/>
        <w:gridCol w:w="1506"/>
        <w:gridCol w:w="1959"/>
        <w:gridCol w:w="1506"/>
      </w:tblGrid>
      <w:tr w14:paraId="6993D44D">
        <w:tblPrEx>
          <w:tblCellMar>
            <w:top w:w="0" w:type="dxa"/>
            <w:left w:w="108" w:type="dxa"/>
            <w:bottom w:w="0" w:type="dxa"/>
            <w:right w:w="108" w:type="dxa"/>
          </w:tblCellMar>
        </w:tblPrEx>
        <w:trPr>
          <w:trHeight w:val="404" w:hRule="atLeast"/>
          <w:jc w:val="center"/>
        </w:trPr>
        <w:tc>
          <w:tcPr>
            <w:tcW w:w="4667" w:type="dxa"/>
            <w:tcBorders>
              <w:top w:val="single" w:color="000000" w:sz="4" w:space="0"/>
              <w:left w:val="single" w:color="000000" w:sz="4" w:space="0"/>
              <w:bottom w:val="single" w:color="000000" w:sz="4" w:space="0"/>
              <w:right w:val="single" w:color="000000" w:sz="4" w:space="0"/>
            </w:tcBorders>
            <w:noWrap/>
            <w:vAlign w:val="center"/>
          </w:tcPr>
          <w:p w14:paraId="6D4C5FDC">
            <w:pPr>
              <w:widowControl/>
              <w:spacing w:line="380" w:lineRule="exact"/>
              <w:jc w:val="center"/>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人才类别</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26065A4F">
            <w:pPr>
              <w:widowControl/>
              <w:spacing w:line="380" w:lineRule="exact"/>
              <w:jc w:val="center"/>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房票补贴</w:t>
            </w:r>
          </w:p>
        </w:tc>
        <w:tc>
          <w:tcPr>
            <w:tcW w:w="1959" w:type="dxa"/>
            <w:tcBorders>
              <w:top w:val="single" w:color="000000" w:sz="4" w:space="0"/>
              <w:left w:val="single" w:color="000000" w:sz="4" w:space="0"/>
              <w:bottom w:val="single" w:color="000000" w:sz="4" w:space="0"/>
              <w:right w:val="single" w:color="000000" w:sz="4" w:space="0"/>
            </w:tcBorders>
            <w:noWrap/>
            <w:vAlign w:val="center"/>
          </w:tcPr>
          <w:p w14:paraId="5CC34504">
            <w:pPr>
              <w:widowControl/>
              <w:spacing w:line="380" w:lineRule="exact"/>
              <w:jc w:val="center"/>
              <w:textAlignment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安家补贴</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4A3B8CC2">
            <w:pPr>
              <w:widowControl/>
              <w:spacing w:line="380" w:lineRule="exact"/>
              <w:jc w:val="center"/>
              <w:textAlignment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人才奖励</w:t>
            </w:r>
          </w:p>
        </w:tc>
      </w:tr>
      <w:tr w14:paraId="292CAEC0">
        <w:tblPrEx>
          <w:tblCellMar>
            <w:top w:w="0" w:type="dxa"/>
            <w:left w:w="108" w:type="dxa"/>
            <w:bottom w:w="0" w:type="dxa"/>
            <w:right w:w="108" w:type="dxa"/>
          </w:tblCellMar>
        </w:tblPrEx>
        <w:trPr>
          <w:trHeight w:val="3023" w:hRule="atLeast"/>
          <w:jc w:val="center"/>
        </w:trPr>
        <w:tc>
          <w:tcPr>
            <w:tcW w:w="4667" w:type="dxa"/>
            <w:tcBorders>
              <w:top w:val="single" w:color="000000" w:sz="4" w:space="0"/>
              <w:left w:val="single" w:color="000000" w:sz="4" w:space="0"/>
              <w:bottom w:val="single" w:color="000000" w:sz="4" w:space="0"/>
              <w:right w:val="single" w:color="000000" w:sz="4" w:space="0"/>
            </w:tcBorders>
            <w:vAlign w:val="center"/>
          </w:tcPr>
          <w:p w14:paraId="67448867">
            <w:pPr>
              <w:widowControl/>
              <w:spacing w:line="38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在浙江省参加高考，并被C9 联盟高校（除清华大学、北京大学外）、中国人民大学、北京师范大学、华东师范大学录取的本科及硕士研究生和浙江师范大学录取的硕士研究生（硕士毕业生，本科要求学校同上述学校；文理分科时为文科全省前200位、理科全省前600位，综合招生改革后的普通类前800位除外）。</w:t>
            </w:r>
          </w:p>
        </w:tc>
        <w:tc>
          <w:tcPr>
            <w:tcW w:w="1506" w:type="dxa"/>
            <w:tcBorders>
              <w:top w:val="single" w:color="000000" w:sz="4" w:space="0"/>
              <w:left w:val="single" w:color="000000" w:sz="4" w:space="0"/>
              <w:bottom w:val="single" w:color="000000" w:sz="4" w:space="0"/>
              <w:right w:val="single" w:color="000000" w:sz="4" w:space="0"/>
            </w:tcBorders>
            <w:vAlign w:val="center"/>
          </w:tcPr>
          <w:p w14:paraId="4B31CFFA">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硕士</w:t>
            </w:r>
            <w:r>
              <w:rPr>
                <w:rStyle w:val="35"/>
                <w:rFonts w:ascii="仿宋_GB2312" w:hAnsi="仿宋_GB2312" w:eastAsia="仿宋_GB2312" w:cs="仿宋_GB2312"/>
                <w:color w:val="auto"/>
              </w:rPr>
              <w:t>15</w:t>
            </w:r>
            <w:r>
              <w:rPr>
                <w:rStyle w:val="35"/>
                <w:rFonts w:hint="eastAsia" w:ascii="仿宋_GB2312" w:hAnsi="仿宋_GB2312" w:eastAsia="仿宋_GB2312" w:cs="仿宋_GB2312"/>
                <w:color w:val="auto"/>
              </w:rPr>
              <w:t>万</w:t>
            </w:r>
          </w:p>
          <w:p w14:paraId="51048DA0">
            <w:pPr>
              <w:widowControl/>
              <w:spacing w:line="380" w:lineRule="exact"/>
              <w:jc w:val="center"/>
              <w:textAlignment w:val="center"/>
              <w:rPr>
                <w:rFonts w:hint="eastAsia" w:ascii="仿宋_GB2312" w:hAnsi="仿宋_GB2312" w:eastAsia="仿宋_GB2312" w:cs="仿宋_GB2312"/>
                <w:sz w:val="24"/>
              </w:rPr>
            </w:pPr>
            <w:r>
              <w:rPr>
                <w:rStyle w:val="35"/>
                <w:rFonts w:hint="eastAsia" w:ascii="仿宋_GB2312" w:hAnsi="仿宋_GB2312" w:eastAsia="仿宋_GB2312" w:cs="仿宋_GB2312"/>
                <w:color w:val="auto"/>
              </w:rPr>
              <w:t>本科</w:t>
            </w:r>
            <w:r>
              <w:rPr>
                <w:rStyle w:val="35"/>
                <w:rFonts w:ascii="仿宋_GB2312" w:hAnsi="仿宋_GB2312" w:eastAsia="仿宋_GB2312" w:cs="仿宋_GB2312"/>
                <w:color w:val="auto"/>
              </w:rPr>
              <w:t>10</w:t>
            </w:r>
            <w:r>
              <w:rPr>
                <w:rStyle w:val="35"/>
                <w:rFonts w:hint="eastAsia" w:ascii="仿宋_GB2312" w:hAnsi="仿宋_GB2312" w:eastAsia="仿宋_GB2312" w:cs="仿宋_GB2312"/>
                <w:color w:val="auto"/>
              </w:rPr>
              <w:t>万</w:t>
            </w:r>
          </w:p>
        </w:tc>
        <w:tc>
          <w:tcPr>
            <w:tcW w:w="1959" w:type="dxa"/>
            <w:tcBorders>
              <w:top w:val="single" w:color="000000" w:sz="4" w:space="0"/>
              <w:left w:val="single" w:color="000000" w:sz="4" w:space="0"/>
              <w:bottom w:val="single" w:color="000000" w:sz="4" w:space="0"/>
              <w:right w:val="single" w:color="000000" w:sz="4" w:space="0"/>
            </w:tcBorders>
            <w:vAlign w:val="center"/>
          </w:tcPr>
          <w:p w14:paraId="36BA0ADE">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硕士10万</w:t>
            </w:r>
          </w:p>
          <w:p w14:paraId="1A3FB507">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（其中浙师大硕士5万）</w:t>
            </w:r>
          </w:p>
        </w:tc>
        <w:tc>
          <w:tcPr>
            <w:tcW w:w="1506" w:type="dxa"/>
            <w:tcBorders>
              <w:top w:val="single" w:color="000000" w:sz="4" w:space="0"/>
              <w:left w:val="single" w:color="000000" w:sz="4" w:space="0"/>
              <w:bottom w:val="single" w:color="000000" w:sz="4" w:space="0"/>
              <w:right w:val="single" w:color="000000" w:sz="4" w:space="0"/>
            </w:tcBorders>
            <w:vAlign w:val="center"/>
          </w:tcPr>
          <w:p w14:paraId="191080DF">
            <w:pPr>
              <w:widowControl/>
              <w:spacing w:line="380" w:lineRule="exact"/>
              <w:jc w:val="center"/>
              <w:textAlignment w:val="center"/>
              <w:rPr>
                <w:rStyle w:val="35"/>
                <w:rFonts w:hint="eastAsia" w:ascii="仿宋_GB2312" w:hAnsi="仿宋_GB2312" w:eastAsia="仿宋_GB2312" w:cs="仿宋_GB2312"/>
                <w:color w:val="auto"/>
              </w:rPr>
            </w:pPr>
            <w:r>
              <w:rPr>
                <w:rStyle w:val="35"/>
                <w:rFonts w:ascii="仿宋_GB2312" w:hAnsi="仿宋_GB2312" w:eastAsia="仿宋_GB2312" w:cs="仿宋_GB2312"/>
                <w:color w:val="auto"/>
              </w:rPr>
              <w:t>5-10</w:t>
            </w:r>
            <w:r>
              <w:rPr>
                <w:rStyle w:val="35"/>
                <w:rFonts w:hint="eastAsia" w:ascii="仿宋_GB2312" w:hAnsi="仿宋_GB2312" w:eastAsia="仿宋_GB2312" w:cs="仿宋_GB2312"/>
                <w:color w:val="auto"/>
              </w:rPr>
              <w:t>万</w:t>
            </w:r>
            <w:r>
              <w:rPr>
                <w:rStyle w:val="35"/>
                <w:rFonts w:ascii="仿宋_GB2312" w:hAnsi="仿宋_GB2312" w:eastAsia="仿宋_GB2312" w:cs="仿宋_GB2312"/>
                <w:color w:val="auto"/>
              </w:rPr>
              <w:t>/</w:t>
            </w:r>
            <w:r>
              <w:rPr>
                <w:rStyle w:val="35"/>
                <w:rFonts w:hint="eastAsia" w:ascii="仿宋_GB2312" w:hAnsi="仿宋_GB2312" w:eastAsia="仿宋_GB2312" w:cs="仿宋_GB2312"/>
                <w:color w:val="auto"/>
              </w:rPr>
              <w:t>年</w:t>
            </w:r>
          </w:p>
        </w:tc>
      </w:tr>
      <w:tr w14:paraId="14B3316E">
        <w:tblPrEx>
          <w:tblCellMar>
            <w:top w:w="0" w:type="dxa"/>
            <w:left w:w="108" w:type="dxa"/>
            <w:bottom w:w="0" w:type="dxa"/>
            <w:right w:w="108" w:type="dxa"/>
          </w:tblCellMar>
        </w:tblPrEx>
        <w:trPr>
          <w:trHeight w:val="2878" w:hRule="atLeast"/>
          <w:jc w:val="center"/>
        </w:trPr>
        <w:tc>
          <w:tcPr>
            <w:tcW w:w="4667" w:type="dxa"/>
            <w:tcBorders>
              <w:top w:val="single" w:color="000000" w:sz="4" w:space="0"/>
              <w:left w:val="single" w:color="000000" w:sz="4" w:space="0"/>
              <w:bottom w:val="single" w:color="000000" w:sz="4" w:space="0"/>
              <w:right w:val="single" w:color="000000" w:sz="4" w:space="0"/>
            </w:tcBorders>
            <w:vAlign w:val="center"/>
          </w:tcPr>
          <w:p w14:paraId="3238B705">
            <w:pPr>
              <w:widowControl/>
              <w:spacing w:line="38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在浙江省参加高考，文理分科时为文科全省前200位、理科全省前600位，综合招生改革后的普通类前800位，并被C9 联盟高校（除清华大学、北京大学）和中国人民大学、北京师范大学、华东师范大学录取的本科及硕士研究生（硕士毕业生，本科要求学校同上述学校）。</w:t>
            </w:r>
          </w:p>
        </w:tc>
        <w:tc>
          <w:tcPr>
            <w:tcW w:w="1506" w:type="dxa"/>
            <w:tcBorders>
              <w:top w:val="single" w:color="000000" w:sz="4" w:space="0"/>
              <w:left w:val="single" w:color="000000" w:sz="4" w:space="0"/>
              <w:bottom w:val="single" w:color="000000" w:sz="4" w:space="0"/>
              <w:right w:val="single" w:color="000000" w:sz="4" w:space="0"/>
            </w:tcBorders>
            <w:vAlign w:val="center"/>
          </w:tcPr>
          <w:p w14:paraId="44D2084B">
            <w:pPr>
              <w:widowControl/>
              <w:spacing w:line="380" w:lineRule="exact"/>
              <w:jc w:val="center"/>
              <w:textAlignment w:val="center"/>
              <w:rPr>
                <w:rFonts w:hint="eastAsia" w:ascii="仿宋_GB2312" w:hAnsi="仿宋_GB2312" w:eastAsia="仿宋_GB2312" w:cs="仿宋_GB2312"/>
                <w:sz w:val="24"/>
              </w:rPr>
            </w:pPr>
            <w:r>
              <w:rPr>
                <w:rStyle w:val="35"/>
                <w:rFonts w:ascii="仿宋_GB2312" w:hAnsi="仿宋_GB2312" w:eastAsia="仿宋_GB2312" w:cs="仿宋_GB2312"/>
                <w:color w:val="auto"/>
              </w:rPr>
              <w:t>40</w:t>
            </w:r>
            <w:r>
              <w:rPr>
                <w:rStyle w:val="35"/>
                <w:rFonts w:hint="eastAsia" w:ascii="仿宋_GB2312" w:hAnsi="仿宋_GB2312" w:eastAsia="仿宋_GB2312" w:cs="仿宋_GB2312"/>
                <w:color w:val="auto"/>
              </w:rPr>
              <w:t>万</w:t>
            </w:r>
          </w:p>
        </w:tc>
        <w:tc>
          <w:tcPr>
            <w:tcW w:w="1959" w:type="dxa"/>
            <w:tcBorders>
              <w:top w:val="single" w:color="000000" w:sz="4" w:space="0"/>
              <w:left w:val="single" w:color="000000" w:sz="4" w:space="0"/>
              <w:bottom w:val="single" w:color="000000" w:sz="4" w:space="0"/>
              <w:right w:val="single" w:color="000000" w:sz="4" w:space="0"/>
            </w:tcBorders>
            <w:vAlign w:val="center"/>
          </w:tcPr>
          <w:p w14:paraId="4894F80B">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硕士10万</w:t>
            </w:r>
          </w:p>
        </w:tc>
        <w:tc>
          <w:tcPr>
            <w:tcW w:w="1506" w:type="dxa"/>
            <w:tcBorders>
              <w:top w:val="single" w:color="000000" w:sz="4" w:space="0"/>
              <w:left w:val="single" w:color="000000" w:sz="4" w:space="0"/>
              <w:bottom w:val="single" w:color="000000" w:sz="4" w:space="0"/>
              <w:right w:val="single" w:color="000000" w:sz="4" w:space="0"/>
            </w:tcBorders>
            <w:vAlign w:val="center"/>
          </w:tcPr>
          <w:p w14:paraId="15FC8CD3">
            <w:pPr>
              <w:widowControl/>
              <w:spacing w:line="380" w:lineRule="exact"/>
              <w:jc w:val="center"/>
              <w:textAlignment w:val="center"/>
              <w:rPr>
                <w:rStyle w:val="35"/>
                <w:rFonts w:hint="eastAsia" w:ascii="仿宋_GB2312" w:hAnsi="仿宋_GB2312" w:eastAsia="仿宋_GB2312" w:cs="仿宋_GB2312"/>
                <w:color w:val="auto"/>
              </w:rPr>
            </w:pPr>
            <w:r>
              <w:rPr>
                <w:rStyle w:val="35"/>
                <w:rFonts w:ascii="仿宋_GB2312" w:hAnsi="仿宋_GB2312" w:eastAsia="仿宋_GB2312" w:cs="仿宋_GB2312"/>
                <w:color w:val="auto"/>
              </w:rPr>
              <w:t>10-</w:t>
            </w:r>
            <w:r>
              <w:rPr>
                <w:rStyle w:val="35"/>
                <w:rFonts w:hint="eastAsia" w:ascii="仿宋_GB2312" w:hAnsi="仿宋_GB2312" w:eastAsia="仿宋_GB2312" w:cs="仿宋_GB2312"/>
                <w:color w:val="auto"/>
              </w:rPr>
              <w:t>15万</w:t>
            </w:r>
            <w:r>
              <w:rPr>
                <w:rStyle w:val="35"/>
                <w:rFonts w:ascii="仿宋_GB2312" w:hAnsi="仿宋_GB2312" w:eastAsia="仿宋_GB2312" w:cs="仿宋_GB2312"/>
                <w:color w:val="auto"/>
              </w:rPr>
              <w:t>/</w:t>
            </w:r>
            <w:r>
              <w:rPr>
                <w:rStyle w:val="35"/>
                <w:rFonts w:hint="eastAsia" w:ascii="仿宋_GB2312" w:hAnsi="仿宋_GB2312" w:eastAsia="仿宋_GB2312" w:cs="仿宋_GB2312"/>
                <w:color w:val="auto"/>
              </w:rPr>
              <w:t>年</w:t>
            </w:r>
          </w:p>
        </w:tc>
      </w:tr>
      <w:tr w14:paraId="4A1F6570">
        <w:tblPrEx>
          <w:tblCellMar>
            <w:top w:w="0" w:type="dxa"/>
            <w:left w:w="108" w:type="dxa"/>
            <w:bottom w:w="0" w:type="dxa"/>
            <w:right w:w="108" w:type="dxa"/>
          </w:tblCellMar>
        </w:tblPrEx>
        <w:trPr>
          <w:trHeight w:val="600" w:hRule="atLeast"/>
          <w:jc w:val="center"/>
        </w:trPr>
        <w:tc>
          <w:tcPr>
            <w:tcW w:w="4667" w:type="dxa"/>
            <w:tcBorders>
              <w:top w:val="single" w:color="000000" w:sz="4" w:space="0"/>
              <w:left w:val="single" w:color="000000" w:sz="4" w:space="0"/>
              <w:bottom w:val="single" w:color="000000" w:sz="4" w:space="0"/>
              <w:right w:val="single" w:color="000000" w:sz="4" w:space="0"/>
            </w:tcBorders>
            <w:noWrap/>
            <w:vAlign w:val="center"/>
          </w:tcPr>
          <w:p w14:paraId="397BF3F8">
            <w:pPr>
              <w:widowControl/>
              <w:spacing w:line="38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清华、北大本科及硕士研究生（本科非清华、北大）。</w:t>
            </w:r>
          </w:p>
        </w:tc>
        <w:tc>
          <w:tcPr>
            <w:tcW w:w="1506" w:type="dxa"/>
            <w:tcBorders>
              <w:top w:val="single" w:color="000000" w:sz="4" w:space="0"/>
              <w:left w:val="single" w:color="000000" w:sz="4" w:space="0"/>
              <w:bottom w:val="single" w:color="000000" w:sz="4" w:space="0"/>
              <w:right w:val="single" w:color="000000" w:sz="4" w:space="0"/>
            </w:tcBorders>
            <w:vAlign w:val="center"/>
          </w:tcPr>
          <w:p w14:paraId="634B54F9">
            <w:pPr>
              <w:widowControl/>
              <w:spacing w:line="380" w:lineRule="exact"/>
              <w:jc w:val="center"/>
              <w:textAlignment w:val="center"/>
              <w:rPr>
                <w:rFonts w:hint="eastAsia" w:ascii="仿宋_GB2312" w:hAnsi="仿宋_GB2312" w:eastAsia="仿宋_GB2312" w:cs="仿宋_GB2312"/>
                <w:sz w:val="24"/>
              </w:rPr>
            </w:pPr>
            <w:r>
              <w:rPr>
                <w:rStyle w:val="35"/>
                <w:rFonts w:ascii="仿宋_GB2312" w:hAnsi="仿宋_GB2312" w:eastAsia="仿宋_GB2312" w:cs="仿宋_GB2312"/>
                <w:color w:val="auto"/>
              </w:rPr>
              <w:t>50</w:t>
            </w:r>
            <w:r>
              <w:rPr>
                <w:rStyle w:val="35"/>
                <w:rFonts w:hint="eastAsia" w:ascii="仿宋_GB2312" w:hAnsi="仿宋_GB2312" w:eastAsia="仿宋_GB2312" w:cs="仿宋_GB2312"/>
                <w:color w:val="auto"/>
              </w:rPr>
              <w:t>万</w:t>
            </w:r>
          </w:p>
        </w:tc>
        <w:tc>
          <w:tcPr>
            <w:tcW w:w="1959" w:type="dxa"/>
            <w:tcBorders>
              <w:top w:val="single" w:color="000000" w:sz="4" w:space="0"/>
              <w:left w:val="single" w:color="000000" w:sz="4" w:space="0"/>
              <w:bottom w:val="single" w:color="000000" w:sz="4" w:space="0"/>
              <w:right w:val="single" w:color="000000" w:sz="4" w:space="0"/>
            </w:tcBorders>
            <w:vAlign w:val="center"/>
          </w:tcPr>
          <w:p w14:paraId="5C07B32A">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硕士10万</w:t>
            </w:r>
          </w:p>
        </w:tc>
        <w:tc>
          <w:tcPr>
            <w:tcW w:w="1506" w:type="dxa"/>
            <w:tcBorders>
              <w:top w:val="single" w:color="000000" w:sz="4" w:space="0"/>
              <w:left w:val="single" w:color="000000" w:sz="4" w:space="0"/>
              <w:bottom w:val="single" w:color="000000" w:sz="4" w:space="0"/>
              <w:right w:val="single" w:color="000000" w:sz="4" w:space="0"/>
            </w:tcBorders>
            <w:vAlign w:val="center"/>
          </w:tcPr>
          <w:p w14:paraId="2E7142E0">
            <w:pPr>
              <w:widowControl/>
              <w:spacing w:line="380" w:lineRule="exact"/>
              <w:jc w:val="center"/>
              <w:textAlignment w:val="center"/>
              <w:rPr>
                <w:rStyle w:val="35"/>
                <w:rFonts w:hint="eastAsia" w:ascii="仿宋_GB2312" w:hAnsi="仿宋_GB2312" w:eastAsia="仿宋_GB2312" w:cs="仿宋_GB2312"/>
                <w:color w:val="auto"/>
              </w:rPr>
            </w:pPr>
            <w:r>
              <w:rPr>
                <w:rStyle w:val="35"/>
                <w:rFonts w:ascii="仿宋_GB2312" w:hAnsi="仿宋_GB2312" w:eastAsia="仿宋_GB2312" w:cs="仿宋_GB2312"/>
                <w:color w:val="auto"/>
              </w:rPr>
              <w:t>15-20</w:t>
            </w:r>
            <w:r>
              <w:rPr>
                <w:rStyle w:val="35"/>
                <w:rFonts w:hint="eastAsia" w:ascii="仿宋_GB2312" w:hAnsi="仿宋_GB2312" w:eastAsia="仿宋_GB2312" w:cs="仿宋_GB2312"/>
                <w:color w:val="auto"/>
              </w:rPr>
              <w:t>万</w:t>
            </w:r>
            <w:r>
              <w:rPr>
                <w:rStyle w:val="35"/>
                <w:rFonts w:ascii="仿宋_GB2312" w:hAnsi="仿宋_GB2312" w:eastAsia="仿宋_GB2312" w:cs="仿宋_GB2312"/>
                <w:color w:val="auto"/>
              </w:rPr>
              <w:t>/</w:t>
            </w:r>
            <w:r>
              <w:rPr>
                <w:rStyle w:val="35"/>
                <w:rFonts w:hint="eastAsia" w:ascii="仿宋_GB2312" w:hAnsi="仿宋_GB2312" w:eastAsia="仿宋_GB2312" w:cs="仿宋_GB2312"/>
                <w:color w:val="auto"/>
              </w:rPr>
              <w:t>年</w:t>
            </w:r>
          </w:p>
        </w:tc>
      </w:tr>
      <w:tr w14:paraId="45F1DB14">
        <w:tblPrEx>
          <w:tblCellMar>
            <w:top w:w="0" w:type="dxa"/>
            <w:left w:w="108" w:type="dxa"/>
            <w:bottom w:w="0" w:type="dxa"/>
            <w:right w:w="108" w:type="dxa"/>
          </w:tblCellMar>
        </w:tblPrEx>
        <w:trPr>
          <w:trHeight w:val="2072" w:hRule="atLeast"/>
          <w:jc w:val="center"/>
        </w:trPr>
        <w:tc>
          <w:tcPr>
            <w:tcW w:w="4667" w:type="dxa"/>
            <w:tcBorders>
              <w:top w:val="single" w:color="000000" w:sz="4" w:space="0"/>
              <w:left w:val="single" w:color="000000" w:sz="4" w:space="0"/>
              <w:bottom w:val="single" w:color="000000" w:sz="4" w:space="0"/>
              <w:right w:val="single" w:color="000000" w:sz="4" w:space="0"/>
            </w:tcBorders>
            <w:vAlign w:val="center"/>
          </w:tcPr>
          <w:p w14:paraId="31836044">
            <w:pPr>
              <w:widowControl/>
              <w:spacing w:line="38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清华、北大硕士研究生（本科也为清华、北大）、其他“双一流”高校（其中一流学科建设高校仅限于对应建设学科）、原“985”“211”高校及国外知名高校的博士研究生(本或硕阶段要求学校同上述学校)。</w:t>
            </w:r>
          </w:p>
        </w:tc>
        <w:tc>
          <w:tcPr>
            <w:tcW w:w="1506" w:type="dxa"/>
            <w:tcBorders>
              <w:top w:val="single" w:color="000000" w:sz="4" w:space="0"/>
              <w:left w:val="single" w:color="000000" w:sz="4" w:space="0"/>
              <w:bottom w:val="single" w:color="000000" w:sz="4" w:space="0"/>
              <w:right w:val="single" w:color="000000" w:sz="4" w:space="0"/>
            </w:tcBorders>
            <w:vAlign w:val="center"/>
          </w:tcPr>
          <w:p w14:paraId="1810DDBB">
            <w:pPr>
              <w:widowControl/>
              <w:spacing w:line="380" w:lineRule="exact"/>
              <w:jc w:val="center"/>
              <w:textAlignment w:val="center"/>
              <w:rPr>
                <w:rFonts w:hint="eastAsia" w:ascii="仿宋_GB2312" w:hAnsi="仿宋_GB2312" w:eastAsia="仿宋_GB2312" w:cs="仿宋_GB2312"/>
                <w:sz w:val="24"/>
              </w:rPr>
            </w:pPr>
            <w:r>
              <w:rPr>
                <w:rStyle w:val="35"/>
                <w:rFonts w:ascii="仿宋_GB2312" w:hAnsi="仿宋_GB2312" w:eastAsia="仿宋_GB2312" w:cs="仿宋_GB2312"/>
                <w:color w:val="auto"/>
              </w:rPr>
              <w:t>70</w:t>
            </w:r>
            <w:r>
              <w:rPr>
                <w:rStyle w:val="35"/>
                <w:rFonts w:hint="eastAsia" w:ascii="仿宋_GB2312" w:hAnsi="仿宋_GB2312" w:eastAsia="仿宋_GB2312" w:cs="仿宋_GB2312"/>
                <w:color w:val="auto"/>
              </w:rPr>
              <w:t>万</w:t>
            </w:r>
          </w:p>
        </w:tc>
        <w:tc>
          <w:tcPr>
            <w:tcW w:w="1959" w:type="dxa"/>
            <w:tcBorders>
              <w:top w:val="single" w:color="000000" w:sz="4" w:space="0"/>
              <w:left w:val="single" w:color="000000" w:sz="4" w:space="0"/>
              <w:bottom w:val="single" w:color="000000" w:sz="4" w:space="0"/>
              <w:right w:val="single" w:color="000000" w:sz="4" w:space="0"/>
            </w:tcBorders>
            <w:vAlign w:val="center"/>
          </w:tcPr>
          <w:p w14:paraId="5A171E48">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博士</w:t>
            </w:r>
            <w:r>
              <w:rPr>
                <w:rStyle w:val="35"/>
                <w:rFonts w:ascii="仿宋_GB2312" w:hAnsi="仿宋_GB2312" w:eastAsia="仿宋_GB2312" w:cs="仿宋_GB2312"/>
                <w:color w:val="auto"/>
              </w:rPr>
              <w:t>1</w:t>
            </w:r>
            <w:r>
              <w:rPr>
                <w:rStyle w:val="35"/>
                <w:rFonts w:hint="eastAsia" w:ascii="仿宋_GB2312" w:hAnsi="仿宋_GB2312" w:eastAsia="仿宋_GB2312" w:cs="仿宋_GB2312"/>
                <w:color w:val="auto"/>
              </w:rPr>
              <w:t>5万</w:t>
            </w:r>
          </w:p>
          <w:p w14:paraId="43F197B5">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硕士10万</w:t>
            </w:r>
          </w:p>
        </w:tc>
        <w:tc>
          <w:tcPr>
            <w:tcW w:w="1506" w:type="dxa"/>
            <w:tcBorders>
              <w:top w:val="single" w:color="000000" w:sz="4" w:space="0"/>
              <w:left w:val="single" w:color="000000" w:sz="4" w:space="0"/>
              <w:bottom w:val="single" w:color="000000" w:sz="4" w:space="0"/>
              <w:right w:val="single" w:color="000000" w:sz="4" w:space="0"/>
            </w:tcBorders>
            <w:vAlign w:val="center"/>
          </w:tcPr>
          <w:p w14:paraId="2655D5A5">
            <w:pPr>
              <w:widowControl/>
              <w:spacing w:line="380" w:lineRule="exact"/>
              <w:jc w:val="center"/>
              <w:textAlignment w:val="center"/>
              <w:rPr>
                <w:rStyle w:val="35"/>
                <w:rFonts w:hint="eastAsia" w:ascii="仿宋_GB2312" w:hAnsi="仿宋_GB2312" w:eastAsia="仿宋_GB2312" w:cs="仿宋_GB2312"/>
                <w:color w:val="auto"/>
              </w:rPr>
            </w:pPr>
            <w:r>
              <w:rPr>
                <w:rStyle w:val="35"/>
                <w:rFonts w:ascii="仿宋_GB2312" w:hAnsi="仿宋_GB2312" w:eastAsia="仿宋_GB2312" w:cs="仿宋_GB2312"/>
                <w:color w:val="auto"/>
              </w:rPr>
              <w:t>20-25</w:t>
            </w:r>
            <w:r>
              <w:rPr>
                <w:rStyle w:val="35"/>
                <w:rFonts w:hint="eastAsia" w:ascii="仿宋_GB2312" w:hAnsi="仿宋_GB2312" w:eastAsia="仿宋_GB2312" w:cs="仿宋_GB2312"/>
                <w:color w:val="auto"/>
              </w:rPr>
              <w:t>万</w:t>
            </w:r>
            <w:r>
              <w:rPr>
                <w:rStyle w:val="35"/>
                <w:rFonts w:ascii="仿宋_GB2312" w:hAnsi="仿宋_GB2312" w:eastAsia="仿宋_GB2312" w:cs="仿宋_GB2312"/>
                <w:color w:val="auto"/>
              </w:rPr>
              <w:t>/</w:t>
            </w:r>
            <w:r>
              <w:rPr>
                <w:rStyle w:val="35"/>
                <w:rFonts w:hint="eastAsia" w:ascii="仿宋_GB2312" w:hAnsi="仿宋_GB2312" w:eastAsia="仿宋_GB2312" w:cs="仿宋_GB2312"/>
                <w:color w:val="auto"/>
              </w:rPr>
              <w:t>年</w:t>
            </w:r>
          </w:p>
        </w:tc>
      </w:tr>
      <w:tr w14:paraId="750ACD40">
        <w:tblPrEx>
          <w:tblCellMar>
            <w:top w:w="0" w:type="dxa"/>
            <w:left w:w="108" w:type="dxa"/>
            <w:bottom w:w="0" w:type="dxa"/>
            <w:right w:w="108" w:type="dxa"/>
          </w:tblCellMar>
        </w:tblPrEx>
        <w:trPr>
          <w:trHeight w:val="990" w:hRule="atLeast"/>
          <w:jc w:val="center"/>
        </w:trPr>
        <w:tc>
          <w:tcPr>
            <w:tcW w:w="4667" w:type="dxa"/>
            <w:tcBorders>
              <w:top w:val="single" w:color="000000" w:sz="4" w:space="0"/>
              <w:left w:val="single" w:color="000000" w:sz="4" w:space="0"/>
              <w:bottom w:val="single" w:color="000000" w:sz="4" w:space="0"/>
              <w:right w:val="single" w:color="000000" w:sz="4" w:space="0"/>
            </w:tcBorders>
            <w:noWrap/>
            <w:vAlign w:val="center"/>
          </w:tcPr>
          <w:p w14:paraId="6A6E7AAF">
            <w:pPr>
              <w:widowControl/>
              <w:spacing w:line="380" w:lineRule="exac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清华、北大博士研究生（本硕阶段均要求为世界一流大学建设高校、原985高校）。</w:t>
            </w:r>
          </w:p>
        </w:tc>
        <w:tc>
          <w:tcPr>
            <w:tcW w:w="1506" w:type="dxa"/>
            <w:tcBorders>
              <w:top w:val="single" w:color="000000" w:sz="4" w:space="0"/>
              <w:left w:val="single" w:color="000000" w:sz="4" w:space="0"/>
              <w:bottom w:val="single" w:color="000000" w:sz="4" w:space="0"/>
              <w:right w:val="single" w:color="000000" w:sz="4" w:space="0"/>
            </w:tcBorders>
            <w:vAlign w:val="center"/>
          </w:tcPr>
          <w:p w14:paraId="2B658569">
            <w:pPr>
              <w:widowControl/>
              <w:spacing w:line="380" w:lineRule="exact"/>
              <w:jc w:val="center"/>
              <w:textAlignment w:val="center"/>
              <w:rPr>
                <w:rFonts w:hint="eastAsia" w:ascii="仿宋_GB2312" w:hAnsi="仿宋_GB2312" w:eastAsia="仿宋_GB2312" w:cs="仿宋_GB2312"/>
                <w:sz w:val="24"/>
              </w:rPr>
            </w:pPr>
            <w:r>
              <w:rPr>
                <w:rStyle w:val="35"/>
                <w:rFonts w:ascii="仿宋_GB2312" w:hAnsi="仿宋_GB2312" w:eastAsia="仿宋_GB2312" w:cs="仿宋_GB2312"/>
                <w:color w:val="auto"/>
              </w:rPr>
              <w:t>105</w:t>
            </w:r>
            <w:r>
              <w:rPr>
                <w:rStyle w:val="35"/>
                <w:rFonts w:hint="eastAsia" w:ascii="仿宋_GB2312" w:hAnsi="仿宋_GB2312" w:eastAsia="仿宋_GB2312" w:cs="仿宋_GB2312"/>
                <w:color w:val="auto"/>
              </w:rPr>
              <w:t>万</w:t>
            </w:r>
          </w:p>
        </w:tc>
        <w:tc>
          <w:tcPr>
            <w:tcW w:w="1959" w:type="dxa"/>
            <w:tcBorders>
              <w:top w:val="single" w:color="000000" w:sz="4" w:space="0"/>
              <w:left w:val="single" w:color="000000" w:sz="4" w:space="0"/>
              <w:bottom w:val="single" w:color="000000" w:sz="4" w:space="0"/>
              <w:right w:val="single" w:color="000000" w:sz="4" w:space="0"/>
            </w:tcBorders>
            <w:vAlign w:val="center"/>
          </w:tcPr>
          <w:p w14:paraId="70BBCDF4">
            <w:pPr>
              <w:widowControl/>
              <w:spacing w:line="380" w:lineRule="exact"/>
              <w:jc w:val="center"/>
              <w:textAlignment w:val="center"/>
              <w:rPr>
                <w:rStyle w:val="35"/>
                <w:rFonts w:hint="eastAsia" w:ascii="仿宋_GB2312" w:hAnsi="仿宋_GB2312" w:eastAsia="仿宋_GB2312" w:cs="仿宋_GB2312"/>
                <w:color w:val="auto"/>
              </w:rPr>
            </w:pPr>
            <w:r>
              <w:rPr>
                <w:rStyle w:val="35"/>
                <w:rFonts w:hint="eastAsia" w:ascii="仿宋_GB2312" w:hAnsi="仿宋_GB2312" w:eastAsia="仿宋_GB2312" w:cs="仿宋_GB2312"/>
                <w:color w:val="auto"/>
              </w:rPr>
              <w:t>博士</w:t>
            </w:r>
            <w:r>
              <w:rPr>
                <w:rStyle w:val="35"/>
                <w:rFonts w:ascii="仿宋_GB2312" w:hAnsi="仿宋_GB2312" w:eastAsia="仿宋_GB2312" w:cs="仿宋_GB2312"/>
                <w:color w:val="auto"/>
              </w:rPr>
              <w:t>1</w:t>
            </w:r>
            <w:r>
              <w:rPr>
                <w:rStyle w:val="35"/>
                <w:rFonts w:hint="eastAsia" w:ascii="仿宋_GB2312" w:hAnsi="仿宋_GB2312" w:eastAsia="仿宋_GB2312" w:cs="仿宋_GB2312"/>
                <w:color w:val="auto"/>
              </w:rPr>
              <w:t>5万</w:t>
            </w:r>
          </w:p>
        </w:tc>
        <w:tc>
          <w:tcPr>
            <w:tcW w:w="1506" w:type="dxa"/>
            <w:tcBorders>
              <w:top w:val="single" w:color="000000" w:sz="4" w:space="0"/>
              <w:left w:val="single" w:color="000000" w:sz="4" w:space="0"/>
              <w:bottom w:val="single" w:color="000000" w:sz="4" w:space="0"/>
              <w:right w:val="single" w:color="000000" w:sz="4" w:space="0"/>
            </w:tcBorders>
            <w:vAlign w:val="center"/>
          </w:tcPr>
          <w:p w14:paraId="6FD90E69">
            <w:pPr>
              <w:widowControl/>
              <w:spacing w:line="380" w:lineRule="exact"/>
              <w:jc w:val="center"/>
              <w:textAlignment w:val="center"/>
              <w:rPr>
                <w:rStyle w:val="35"/>
                <w:rFonts w:hint="eastAsia" w:ascii="仿宋_GB2312" w:hAnsi="仿宋_GB2312" w:eastAsia="仿宋_GB2312" w:cs="仿宋_GB2312"/>
                <w:color w:val="auto"/>
              </w:rPr>
            </w:pPr>
            <w:r>
              <w:rPr>
                <w:rStyle w:val="35"/>
                <w:rFonts w:ascii="仿宋_GB2312" w:hAnsi="仿宋_GB2312" w:eastAsia="仿宋_GB2312" w:cs="仿宋_GB2312"/>
                <w:color w:val="auto"/>
              </w:rPr>
              <w:t>25-30</w:t>
            </w:r>
            <w:r>
              <w:rPr>
                <w:rStyle w:val="35"/>
                <w:rFonts w:hint="eastAsia" w:ascii="仿宋_GB2312" w:hAnsi="仿宋_GB2312" w:eastAsia="仿宋_GB2312" w:cs="仿宋_GB2312"/>
                <w:color w:val="auto"/>
              </w:rPr>
              <w:t>万</w:t>
            </w:r>
            <w:r>
              <w:rPr>
                <w:rStyle w:val="35"/>
                <w:rFonts w:ascii="仿宋_GB2312" w:hAnsi="仿宋_GB2312" w:eastAsia="仿宋_GB2312" w:cs="仿宋_GB2312"/>
                <w:color w:val="auto"/>
              </w:rPr>
              <w:t>/</w:t>
            </w:r>
            <w:r>
              <w:rPr>
                <w:rStyle w:val="35"/>
                <w:rFonts w:hint="eastAsia" w:ascii="仿宋_GB2312" w:hAnsi="仿宋_GB2312" w:eastAsia="仿宋_GB2312" w:cs="仿宋_GB2312"/>
                <w:color w:val="auto"/>
              </w:rPr>
              <w:t>年</w:t>
            </w:r>
          </w:p>
        </w:tc>
      </w:tr>
    </w:tbl>
    <w:p w14:paraId="3A70FAE0">
      <w:pPr>
        <w:tabs>
          <w:tab w:val="left" w:pos="5056"/>
        </w:tabs>
        <w:adjustRightInd w:val="0"/>
        <w:spacing w:line="300" w:lineRule="exact"/>
        <w:rPr>
          <w:rFonts w:hint="eastAsia" w:ascii="楷体_GB2312" w:hAnsi="楷体_GB2312" w:eastAsia="楷体_GB2312" w:cs="楷体_GB2312"/>
          <w:sz w:val="24"/>
        </w:rPr>
      </w:pPr>
      <w:r>
        <w:rPr>
          <w:rFonts w:hint="eastAsia" w:ascii="楷体_GB2312" w:hAnsi="楷体_GB2312" w:eastAsia="楷体_GB2312" w:cs="楷体_GB2312"/>
          <w:sz w:val="24"/>
        </w:rPr>
        <w:t>注：1.在享有同类公办教师待遇基础上，享受上述人才待遇。</w:t>
      </w:r>
    </w:p>
    <w:p w14:paraId="1B552923">
      <w:pPr>
        <w:tabs>
          <w:tab w:val="left" w:pos="5056"/>
        </w:tabs>
        <w:adjustRightInd w:val="0"/>
        <w:spacing w:line="300" w:lineRule="exact"/>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2.根据我市人才新政，除上述人才类别外，引进的博士，给予60万元房票补贴、15万元安家补贴；引进的“双一流”高校硕士，给予10万元安家补贴。</w:t>
      </w:r>
    </w:p>
    <w:p w14:paraId="5450B733">
      <w:pPr>
        <w:tabs>
          <w:tab w:val="left" w:pos="5056"/>
        </w:tabs>
        <w:adjustRightInd w:val="0"/>
        <w:spacing w:line="300" w:lineRule="exact"/>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3.C9联盟高校名单：北京大学、清华大学、浙江大学、复旦大学、上海交通大学、南京大学、中国科学技术大学、西安交通大学、哈尔滨工业大学。</w:t>
      </w:r>
    </w:p>
    <w:p w14:paraId="6D0C014E">
      <w:pPr>
        <w:spacing w:line="380" w:lineRule="exact"/>
        <w:jc w:val="center"/>
        <w:rPr>
          <w:rFonts w:hint="eastAsia" w:ascii="黑体" w:hAnsi="黑体" w:eastAsia="黑体" w:cs="黑体"/>
          <w:sz w:val="32"/>
          <w:szCs w:val="32"/>
          <w:lang w:val="en-US" w:eastAsia="zh-CN"/>
        </w:rPr>
      </w:pPr>
    </w:p>
    <w:p w14:paraId="503DC9DC">
      <w:pPr>
        <w:spacing w:line="380" w:lineRule="exact"/>
        <w:jc w:val="center"/>
        <w:rPr>
          <w:rFonts w:hint="eastAsia" w:ascii="黑体" w:hAnsi="黑体" w:eastAsia="黑体" w:cs="黑体"/>
          <w:sz w:val="32"/>
          <w:szCs w:val="32"/>
          <w:lang w:val="en-US" w:eastAsia="zh-CN"/>
        </w:rPr>
      </w:pPr>
    </w:p>
    <w:p w14:paraId="6A7432A0">
      <w:pPr>
        <w:spacing w:line="3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嵊州市招聘普通高中高层次学科竞赛教练有关待遇一览表</w:t>
      </w:r>
    </w:p>
    <w:tbl>
      <w:tblPr>
        <w:tblStyle w:val="15"/>
        <w:tblpPr w:leftFromText="180" w:rightFromText="180" w:vertAnchor="text" w:horzAnchor="page" w:tblpXSpec="center" w:tblpY="360"/>
        <w:tblOverlap w:val="never"/>
        <w:tblW w:w="10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2101"/>
        <w:gridCol w:w="2896"/>
        <w:gridCol w:w="1371"/>
        <w:gridCol w:w="1320"/>
        <w:gridCol w:w="1408"/>
      </w:tblGrid>
      <w:tr w14:paraId="13AA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6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D97">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人才类别</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E7E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房票补贴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E87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安家补贴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FF9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人才奖励</w:t>
            </w:r>
          </w:p>
        </w:tc>
      </w:tr>
      <w:tr w14:paraId="353C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B012A">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高层次学科竞赛教练</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C14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在职相应五大学科竞赛教练，具有本科及以上学历，副高及以上职称，从事相应学科竞赛辅导工作3年及以上（目前仍从事）且辅导学生获得全国联赛省赛区一等奖，年龄要求45周岁以下</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E0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1.辅导学生进入“竞赛强省”省队的学科竞赛教练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50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4CB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10万</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07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10-50万/年</w:t>
            </w:r>
          </w:p>
        </w:tc>
      </w:tr>
      <w:tr w14:paraId="7245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BDCA">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5753D">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E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2.辅导学生获得相应学科全国竞赛总决赛二等奖的教练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E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36B1">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A7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20-60万/年</w:t>
            </w:r>
          </w:p>
        </w:tc>
      </w:tr>
      <w:tr w14:paraId="4A24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DF92">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6D51">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A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3.辅导学生获得相应学科全国竞赛总决赛一等奖的教练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DE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13EF">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61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30-70万/年</w:t>
            </w:r>
          </w:p>
        </w:tc>
      </w:tr>
      <w:tr w14:paraId="1D14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7DD8">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3C47">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4A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4.辅导学生进入国家集训队的教练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ED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8ED4">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BF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60-100万/年</w:t>
            </w:r>
          </w:p>
        </w:tc>
      </w:tr>
      <w:tr w14:paraId="5B49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C932">
            <w:pPr>
              <w:jc w:val="center"/>
              <w:rPr>
                <w:rFonts w:hint="eastAsia" w:ascii="仿宋_GB2312" w:hAnsi="宋体" w:eastAsia="仿宋_GB2312" w:cs="仿宋_GB2312"/>
                <w:i w:val="0"/>
                <w:iCs w:val="0"/>
                <w:color w:val="000000"/>
                <w:sz w:val="22"/>
                <w:szCs w:val="22"/>
                <w:u w:val="none"/>
              </w:rPr>
            </w:pP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558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高校优秀毕业生，博士毕业生或“985”高水平大学毕业的本科生、硕士生，年龄要求35周岁以下</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CB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1.在高中阶段曾获得学科竞赛全国联赛省级赛区二等奖的毕业生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9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11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本科5万</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硕士10万</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博士15万</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D8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5-10万/年</w:t>
            </w:r>
          </w:p>
        </w:tc>
      </w:tr>
      <w:tr w14:paraId="6F93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052C">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6BF99">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58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2.在高中阶段曾获得学科竞赛全国联赛省级赛区一等奖的毕业生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6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C22E">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9A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10-15万/年</w:t>
            </w:r>
          </w:p>
        </w:tc>
      </w:tr>
      <w:tr w14:paraId="2750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AB1A">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81453">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71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3.在高中阶段曾获得相应学科全国竞赛总决赛银牌的毕业生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BC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37E56">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D0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15-20万/年</w:t>
            </w:r>
          </w:p>
        </w:tc>
      </w:tr>
      <w:tr w14:paraId="1435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5FD76">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F060">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74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4.在高中阶段曾获得相应学科全国竞赛总决赛金牌的毕业生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1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1850">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21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20-25万/年</w:t>
            </w:r>
          </w:p>
        </w:tc>
      </w:tr>
      <w:tr w14:paraId="4210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146C">
            <w:pPr>
              <w:jc w:val="center"/>
              <w:rPr>
                <w:rFonts w:hint="eastAsia" w:ascii="仿宋_GB2312" w:hAnsi="宋体" w:eastAsia="仿宋_GB2312" w:cs="仿宋_GB2312"/>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7F0E0">
            <w:pPr>
              <w:jc w:val="left"/>
              <w:rPr>
                <w:rFonts w:hint="eastAsia" w:ascii="仿宋_GB2312" w:hAnsi="宋体" w:eastAsia="仿宋_GB2312" w:cs="仿宋_GB2312"/>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08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5.在高中阶段曾进入相应学科国家集训队的毕业生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EF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60万</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ABDB">
            <w:pPr>
              <w:jc w:val="center"/>
              <w:rPr>
                <w:rFonts w:hint="eastAsia" w:ascii="仿宋_GB2312" w:hAnsi="宋体" w:eastAsia="仿宋_GB2312" w:cs="仿宋_GB2312"/>
                <w:i w:val="0"/>
                <w:iCs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F9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25-30万/年</w:t>
            </w:r>
          </w:p>
        </w:tc>
      </w:tr>
      <w:tr w14:paraId="07F0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10259" w:type="dxa"/>
            <w:gridSpan w:val="6"/>
            <w:tcBorders>
              <w:top w:val="nil"/>
              <w:left w:val="nil"/>
              <w:bottom w:val="nil"/>
              <w:right w:val="nil"/>
            </w:tcBorders>
            <w:shd w:val="clear" w:color="auto" w:fill="auto"/>
            <w:vAlign w:val="center"/>
          </w:tcPr>
          <w:p w14:paraId="11DC23A3">
            <w:pPr>
              <w:keepNext w:val="0"/>
              <w:keepLines w:val="0"/>
              <w:widowControl/>
              <w:suppressLineNumbers w:val="0"/>
              <w:jc w:val="left"/>
              <w:textAlignment w:val="center"/>
              <w:rPr>
                <w:rFonts w:ascii="楷体_GB2312" w:hAnsi="宋体" w:eastAsia="楷体_GB2312" w:cs="楷体_GB2312"/>
                <w:i w:val="0"/>
                <w:iCs w:val="0"/>
                <w:color w:val="000000"/>
                <w:sz w:val="22"/>
                <w:szCs w:val="22"/>
                <w:u w:val="none"/>
              </w:rPr>
            </w:pPr>
            <w:r>
              <w:rPr>
                <w:rFonts w:hint="eastAsia" w:ascii="楷体_GB2312" w:hAnsi="宋体" w:eastAsia="楷体_GB2312" w:cs="楷体_GB2312"/>
                <w:i w:val="0"/>
                <w:iCs w:val="0"/>
                <w:color w:val="000000"/>
                <w:kern w:val="0"/>
                <w:sz w:val="22"/>
                <w:szCs w:val="22"/>
                <w:u w:val="none"/>
                <w:lang w:val="en-US" w:eastAsia="zh-CN" w:bidi="ar"/>
              </w:rPr>
              <w:t>注：1.在享有同类公办教师待遇基础上，享受上述人才待遇。</w:t>
            </w:r>
            <w:r>
              <w:rPr>
                <w:rFonts w:hint="eastAsia" w:ascii="楷体_GB2312" w:hAnsi="宋体" w:eastAsia="楷体_GB2312" w:cs="楷体_GB2312"/>
                <w:i w:val="0"/>
                <w:iCs w:val="0"/>
                <w:color w:val="000000"/>
                <w:kern w:val="0"/>
                <w:sz w:val="22"/>
                <w:szCs w:val="22"/>
                <w:u w:val="none"/>
                <w:lang w:val="en-US" w:eastAsia="zh-CN" w:bidi="ar"/>
              </w:rPr>
              <w:br w:type="textWrapping"/>
            </w:r>
            <w:r>
              <w:rPr>
                <w:rFonts w:hint="eastAsia" w:ascii="楷体_GB2312" w:hAnsi="宋体" w:eastAsia="楷体_GB2312" w:cs="楷体_GB2312"/>
                <w:i w:val="0"/>
                <w:iCs w:val="0"/>
                <w:color w:val="000000"/>
                <w:kern w:val="0"/>
                <w:sz w:val="22"/>
                <w:szCs w:val="22"/>
                <w:u w:val="none"/>
                <w:lang w:val="en-US" w:eastAsia="zh-CN" w:bidi="ar"/>
              </w:rPr>
              <w:t xml:space="preserve">    2.以上涉及的奖励（补助）事项，与我市现行人才政策中存在重复的，按照“就高原则”享受。</w:t>
            </w:r>
            <w:r>
              <w:rPr>
                <w:rFonts w:hint="eastAsia" w:ascii="楷体_GB2312" w:hAnsi="宋体" w:eastAsia="楷体_GB2312" w:cs="楷体_GB2312"/>
                <w:i w:val="0"/>
                <w:iCs w:val="0"/>
                <w:color w:val="000000"/>
                <w:kern w:val="0"/>
                <w:sz w:val="22"/>
                <w:szCs w:val="22"/>
                <w:u w:val="none"/>
                <w:lang w:val="en-US" w:eastAsia="zh-CN" w:bidi="ar"/>
              </w:rPr>
              <w:br w:type="textWrapping"/>
            </w:r>
            <w:r>
              <w:rPr>
                <w:rFonts w:hint="eastAsia" w:ascii="楷体_GB2312" w:hAnsi="宋体" w:eastAsia="楷体_GB2312" w:cs="楷体_GB2312"/>
                <w:i w:val="0"/>
                <w:iCs w:val="0"/>
                <w:color w:val="000000"/>
                <w:kern w:val="0"/>
                <w:sz w:val="22"/>
                <w:szCs w:val="22"/>
                <w:u w:val="none"/>
                <w:lang w:val="en-US" w:eastAsia="zh-CN" w:bidi="ar"/>
              </w:rPr>
              <w:t xml:space="preserve">    3.根据我市现行人才政策，除上述人才类别外，引进的博士，给予60万元房票补贴、15万元安家补贴；引进的“双一流”高校硕士，给予10万元安家补贴。</w:t>
            </w:r>
          </w:p>
        </w:tc>
      </w:tr>
    </w:tbl>
    <w:p w14:paraId="4F29E30B">
      <w:pPr>
        <w:pStyle w:val="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A4"/>
    <w:rsid w:val="000758D8"/>
    <w:rsid w:val="002B3A91"/>
    <w:rsid w:val="004A6BA4"/>
    <w:rsid w:val="0083280C"/>
    <w:rsid w:val="00C20F62"/>
    <w:rsid w:val="6306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Cs w:val="22"/>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font41"/>
    <w:qFormat/>
    <w:uiPriority w:val="99"/>
    <w:rPr>
      <w:rFonts w:ascii="宋体" w:hAnsi="宋体" w:eastAsia="宋体" w:cs="宋体"/>
      <w:color w:val="000000"/>
      <w:sz w:val="24"/>
      <w:szCs w:val="24"/>
      <w:u w:val="none"/>
    </w:rPr>
  </w:style>
  <w:style w:type="character" w:customStyle="1" w:styleId="36">
    <w:name w:val="页眉 字符"/>
    <w:basedOn w:val="16"/>
    <w:link w:val="12"/>
    <w:qFormat/>
    <w:uiPriority w:val="99"/>
    <w:rPr>
      <w:rFonts w:ascii="Times New Roman" w:hAnsi="Times New Roman" w:eastAsia="宋体" w:cs="Times New Roman"/>
      <w:sz w:val="18"/>
      <w:szCs w:val="18"/>
    </w:rPr>
  </w:style>
  <w:style w:type="character" w:customStyle="1" w:styleId="37">
    <w:name w:val="页脚 字符"/>
    <w:basedOn w:val="16"/>
    <w:link w:val="11"/>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691</Words>
  <Characters>751</Characters>
  <Lines>5</Lines>
  <Paragraphs>1</Paragraphs>
  <TotalTime>7</TotalTime>
  <ScaleCrop>false</ScaleCrop>
  <LinksUpToDate>false</LinksUpToDate>
  <CharactersWithSpaces>753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2025-09-26T12:22:00Z</dcterms:created>
  <dc:creator>Lenovo</dc:creator>
  <cp:lastModifiedBy>余锋</cp:lastModifiedBy>
  <dcterms:modified xsi:type="dcterms:W3CDTF">2025-09-28T07:07:10Z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72B8AE99C8C1451F901E801D5D4D31AB_12</vt:lpwstr>
  </property>
</Properties>
</file>