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</w:p>
    <w:p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  <w:t>诸暨市教育体育局面向2026年应届高校优秀毕业生</w:t>
      </w:r>
    </w:p>
    <w:p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  <w:t>招聘教师计划表</w:t>
      </w:r>
    </w:p>
    <w:tbl>
      <w:tblPr>
        <w:tblStyle w:val="8"/>
        <w:tblpPr w:leftFromText="180" w:rightFromText="180" w:vertAnchor="text" w:horzAnchor="page" w:tblpXSpec="center" w:tblpY="303"/>
        <w:tblOverlap w:val="never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0"/>
        <w:gridCol w:w="1370"/>
        <w:gridCol w:w="920"/>
        <w:gridCol w:w="1297"/>
        <w:gridCol w:w="3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要求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学位要求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bookmarkStart w:id="0" w:name="OLE_LINK3" w:colFirst="3" w:colLast="6"/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暨阳分校1诸暨二中1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课程与教学论（语文方向）、学科教学（语文）、汉语国际教育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科：中国语言文学类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浬浦中学1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研究生：数学、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统计学、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课程与教学论（数学方向）、学科教学（数学）</w:t>
            </w:r>
          </w:p>
          <w:p>
            <w:pPr>
              <w:spacing w:line="280" w:lineRule="exact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科：数学类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高中英语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暨阳分校3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研究生：外国语言文学（英语方向）、翻译（英语方向）、</w:t>
            </w:r>
            <w:bookmarkStart w:id="1" w:name="OLE_LINK5"/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（英语方向）、学科教学（英语）</w:t>
            </w:r>
          </w:p>
          <w:bookmarkEnd w:id="1"/>
          <w:p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  科：外国语言文学类（英语、翻译、商务英语）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高中政治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诸暨二中2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究生：哲学、政治学、马克思主义理论、社会学、课程与教学论（思政方向）、学科教学（思政）</w:t>
            </w:r>
          </w:p>
          <w:p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  科：哲学类、政治学类、马克思主义理论类、社会学类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高中历史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学勉中学1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湄池中学1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研究生：中国史、世界史、课程与教学论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（历史方向）、学科教学（历史）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  科：历史学类、教育学类（人文教育）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高中地理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学勉中学1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湄池中学1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研究生：地理学、天文学、课程与教学论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（地理方向）、学科教学（地理）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  科：地理科学类、天文学类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暨阳分校2牌头中学2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研究生：物理学、力学、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课程与教学论（物理方向）、学科教学（物理）、科学与技术教育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科：物理学类、力学类、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教育学类（科学教育）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要求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学位要求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暨阳分校1诸暨二中1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研究生：化学、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课程与教学论（化学方向）、学科教学（化学）、科学与技术教育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科：化学类、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教育学类（科学教育）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浣纱初中1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浣江初中2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崇真初中4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课程与教学论（语文方向）、学科教学（语文）、汉语国际教育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浣江初中3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崇真初中3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研究生：数学、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统计学、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课程与教学论（数学方向）、学科教学（数学）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科：数学类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初中科学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浣江初中1</w:t>
            </w:r>
          </w:p>
          <w:p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崇真初中3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研究生：物理学、力学、化学、生物学、课程与教学论（物理、化学、生物学科方向）、学科教学（物理、化学、生物）、科学与技术教育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本科：化学类、生物科学类、物理学类、力学类、教育学类（科学教育）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</w:tr>
    </w:tbl>
    <w:p>
      <w:pPr>
        <w:spacing w:line="280" w:lineRule="exact"/>
        <w:rPr>
          <w:rFonts w:hint="eastAsia" w:ascii="仿宋_GB2312" w:hAnsi="宋体" w:eastAsia="仿宋_GB2312" w:cs="仿宋_GB2312"/>
          <w:kern w:val="0"/>
          <w:szCs w:val="21"/>
          <w:lang w:bidi="ar"/>
        </w:rPr>
      </w:pPr>
      <w:r>
        <w:rPr>
          <w:rFonts w:hint="eastAsia" w:ascii="仿宋_GB2312" w:hAnsi="宋体" w:eastAsia="仿宋_GB2312" w:cs="仿宋_GB2312"/>
          <w:kern w:val="0"/>
          <w:szCs w:val="21"/>
          <w:lang w:bidi="ar"/>
        </w:rPr>
        <w:t>备注：根据教育部颁布的《普通高等学校本科专业目录（2024年）》和《研究生教育学科专业目录（2022年）》设置专业目录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国内部分高校名单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北京大学、清华大学、复旦大学、上海交通大学、浙江大学、中国科学技术大学、中国人民大学、南京大学、国防科技大学、北京航空航天大学、北京师范大学、北京理工大学、哈尔滨工业大学、西安交通大学、武汉大学、同济大学、南开大学、华中科技大学、中山大学、东南大学、西北工业大学、华东师范大学、四川大学、电子科技大学、天津大学、厦门大学、华南理工大学、大连理工大学、山东大学、重庆大学、中南大学、吉林大学、湖南大学、兰州大学、中国海洋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中国农业大学、中央民族大学、东北大学、西北农林科技大学、中国科学院大学、北京交通大学、北京工业大学、北京科技大学、北京化工大学、北京邮电大学、北京林业大学、中国传媒大学、中央音乐学院、对外经济贸易大学、北京中医药大学、北京外国语大学、中国地质大学（北京）、中国矿业大学（北京）、中国石油大学（北京）、中国政法大学、中央财经大学、华北电力大学、北京体育大学、南京农业大学、南京航空航天大学、中国矿业大学、中国药科大学、河海大学、南京师范大学、南京理工大学、苏州大学、江南大学、东华大学、上海大学、中国人民解放军海军军医大学（第二军医大学）、上海财经大学、上海外国语大学、华东理工大学、中国人民解放军空军军医大学（第四军医大学）、陕西师范大学、西安电子科技大学、西北大学、长安大学、中国地质大学（武汉）、华中农业大学、华中师范大学、武汉理工大学、中南财经政法大学、西南交通大学、西南财经大学、四川农业大学、哈尔滨工程大学、东北农业大学、东北林业大学、华南师范大学、暨南大学、中国人民解放军国防科技大学、湖南师范大学、天津医科大学、河北工业大学、辽宁大学、大连海事大学、东北师范大学、延边大学、合肥工业大学、安徽大学、中国石油大学（华东）、西南大学、福州大学、新疆大学、石河子大学、南昌大学、太原理工大学、内蒙古大学、郑州大学、广西大学、云南大学、贵州大学、海南大学、宁夏大学、青海大学、西藏大学、首都师范大学；北京协和医学院（考生所学学科限生物学、生物医学工程、临床医学、公共卫生与预防医学、药学）、外交学院（考生所学学科限政治学）、中国人民公安大学（考生所学学科限公安学）、中国音乐学院（考生所学学科限音乐与舞蹈学）、中央美术学院（考生所学学科限美术学、设计学）、中央戏剧学院（考生所学学科限戏剧与影视学）、南京邮电大学（考生所学学科限电子科学与技术）、南京林业大学（考生所学学科限林业工程）、南京信息工程大学（考生所学学科限大气科学）、南京医科大学（考生所学学科限公共卫生与预防医学）、南京中医药大学（考生所学学科限中药学）、上海海洋大学（考生所学学科限水产）、上海中医药大学（考生所学学科限中医学、中药学）、上海体育大学（考生所学学科限体育学）、上海音乐学院（考生所学学科限音乐与舞蹈学）、上海科技大学（考生所学学科限材料科学与工程）、西南石油大学（考生所学学科限石油与天然气工程）、成都理工大学（考生所学学科限地质资源与地质工程）、成都中医药大学（考生所学学科限中药学）、华南农业大学（考生所学学科限作物学）、广州医科大学（考生所学学科限临床医学）、广州中医药大学（考生所学学科限中医学）、南方科技大学（考生所学学科限数学）、湘潭大学（考生所学学科限数学）、天津工业大学（考生所学学科限纺织科学与工程）、天津中医药大学（考生所学学科限中药学）、中国美术学院（考生所学学科限美术学）、宁波大学（考生所学学科限力学）、山西大学（考生所学学科限哲学、物理学）、河南大学（考生所学学科限生物学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国内部分师范院校名单</w:t>
      </w:r>
    </w:p>
    <w:p>
      <w:pPr>
        <w:tabs>
          <w:tab w:val="left" w:pos="5056"/>
        </w:tabs>
        <w:adjustRightInd w:val="0"/>
        <w:spacing w:line="4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5056"/>
        </w:tabs>
        <w:adjustRightInd w:val="0"/>
        <w:spacing w:line="460" w:lineRule="exact"/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上海师范大学、福建师范大学、</w:t>
      </w:r>
      <w:r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</w:rPr>
        <w:t>江苏师范大学、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浙江师范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杭州师范大学、</w:t>
      </w:r>
      <w:r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</w:rPr>
        <w:t>山东师范大学、天津师范大学、重庆师范大学、河北师范大学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国（境）外部分高校名单</w:t>
      </w:r>
    </w:p>
    <w:p>
      <w:pPr>
        <w:jc w:val="center"/>
        <w:rPr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505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麻省理工学院、帝国理工学院、牛津大学、哈佛大学、剑桥大学、斯坦福大学、苏黎世联邦理工大学（瑞士联邦理工学院）、新加坡国立大学、伦敦大学学院、加州理工大学、宾夕法尼亚大学、加州大学伯克利分校、墨尔本大学、南洋理工大学、康奈尔大学、香港大学、悉尼大学、新南威尔士大学、芝加哥大学、普林斯顿大学、耶鲁大学、巴黎科学艺术人文大学、多伦多大学、洛桑联邦理工学院、爱丁堡大学、慕尼黑工业大学、麦吉尔大学、澳大利亚国立大学、首尔国立大学、约翰霍普金斯大学、东京大学、哥伦比亚大学、曼彻斯特大学、香港中文大学、蒙纳士大学、不列颠哥伦比亚大学、伦敦国王学院、昆士兰大学、加州大学洛杉矶分校、纽约大学、密歇根大学、巴黎理工学院、香港科技大学、代尔夫特理工大学、京都大学、西北大学、伦敦经济政治学院、韩国科学技术研究所、布里斯托大学、阿姆斯特丹大学、延世大学、香港理工大学、卡内基梅隆大学、路德维希-马克西米利安-慕尼黑大学、马来亚大学、杜克大学、香港城市大学、鲁汶大学、索邦大学、奥克兰大学、德克萨斯大学奥斯汀分校、高丽大学、台湾大学、华威大学、伊利诺伊大学香槟分校、布宜诺斯艾利斯大学、加州大学圣地亚哥分校、巴黎萨克雷大学、皇家理工学院、隆德大学、华盛顿大学、西澳大学、格拉斯哥大学、布朗大学、伯明翰大学、南安普敦大学、阿德莱德大学、利兹大学、鲁普莱希特-卡尔斯-海德堡大学、东京工业大学、大阪大学、都柏林三一学院、悉尼科技大学、杜伦大学、宾夕法尼亚州立大学、普渡大学、圣保罗大学、智利天主教大学、罗蒙诺索夫莫斯科国立大学、墨西哥国立自治大学、阿尔伯塔大学、柏林自由大学、浦项科技大学、亚琛工业大学、哥本哈根大学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诸暨市教育体育局面向2026年应届高校优秀毕业生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招聘教师报名二维码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243205</wp:posOffset>
            </wp:positionV>
            <wp:extent cx="2436495" cy="2436495"/>
            <wp:effectExtent l="0" t="0" r="1905" b="1905"/>
            <wp:wrapTight wrapText="bothSides">
              <wp:wrapPolygon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1" name="图片 1" descr="6da23c3924f992313b85772c5442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a23c3924f992313b85772c5442d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2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</w:rPr>
      </w:pPr>
    </w:p>
    <w:p/>
    <w:p/>
    <w:p>
      <w:pPr>
        <w:spacing w:line="44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440" w:lineRule="exact"/>
        <w:jc w:val="both"/>
        <w:rPr>
          <w:rFonts w:hint="default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用微信扫码，网报时间：即日起至202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9日17时</w:t>
      </w:r>
    </w:p>
    <w:p>
      <w:pPr>
        <w:spacing w:line="480" w:lineRule="auto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2" w:name="OLE_LINK2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诸暨市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教育体育局面向2026年应届高校优秀毕业生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招聘教师</w:t>
      </w:r>
      <w:r>
        <w:rPr>
          <w:rFonts w:hint="eastAsia" w:ascii="方正小标宋简体" w:hAnsi="新宋体" w:eastAsia="方正小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学科岗位：                      报名编号：</w:t>
      </w:r>
    </w:p>
    <w:tbl>
      <w:tblPr>
        <w:tblStyle w:val="9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20"/>
        <w:gridCol w:w="920"/>
        <w:gridCol w:w="916"/>
        <w:gridCol w:w="977"/>
        <w:gridCol w:w="403"/>
        <w:gridCol w:w="424"/>
        <w:gridCol w:w="731"/>
        <w:gridCol w:w="285"/>
        <w:gridCol w:w="907"/>
        <w:gridCol w:w="143"/>
        <w:gridCol w:w="1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restart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正面免冠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现户籍地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生源地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专业是否为师范类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证学段学科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居民身份证号码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参加高考年份及省份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年，       省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高考总分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07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前三个学年综合成绩排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名（限本科生填写）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>
            <w:pPr>
              <w:pStyle w:val="13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第     名，属本专业前   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备用联系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年     月至      年    月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年     月至      年    月 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年     月至      年    月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获奖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（从大学本科起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若高中阶段有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五大学科省级及以上竞赛获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奖也需填写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符合应聘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何类条件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第1条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第2条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第3条第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第4条（本科符合第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 xml:space="preserve">条）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报名承诺签名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3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本人申明：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我保证于规定时间内取得学历学位证书及高中学段教师资格证，个人所填表格信息及所提供的佐证材料真实有效，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如有不实，本人愿意承担一切法律责任。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申请人（签名）：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现场确认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3640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资格初审小组意见：</w:t>
            </w:r>
          </w:p>
          <w:p>
            <w:pPr>
              <w:pStyle w:val="13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报考条件。</w:t>
            </w:r>
          </w:p>
          <w:p>
            <w:pPr>
              <w:pStyle w:val="13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审核人签名：</w:t>
            </w:r>
          </w:p>
          <w:p>
            <w:pPr>
              <w:pStyle w:val="13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pStyle w:val="13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审小组意见：</w:t>
            </w:r>
          </w:p>
          <w:p>
            <w:pPr>
              <w:pStyle w:val="13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符合第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报考条件。</w:t>
            </w:r>
          </w:p>
          <w:p>
            <w:pPr>
              <w:pStyle w:val="13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审核人签名：</w:t>
            </w:r>
          </w:p>
          <w:p>
            <w:pPr>
              <w:pStyle w:val="13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审核录入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经审核，符合第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条报名条件。</w:t>
            </w:r>
          </w:p>
          <w:p>
            <w:pPr>
              <w:pStyle w:val="1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3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审核人签字：            年    月   日</w:t>
            </w:r>
          </w:p>
        </w:tc>
      </w:tr>
      <w:bookmarkEnd w:id="2"/>
    </w:tbl>
    <w:p>
      <w:pPr>
        <w:jc w:val="both"/>
        <w:rPr>
          <w:rFonts w:hint="default" w:ascii="等线" w:hAnsi="等线" w:eastAsia="仿宋_GB2312" w:cs="等线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>
      <w:pPr>
        <w:spacing w:line="400" w:lineRule="exact"/>
        <w:jc w:val="center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诸暨市教育体育局教师招聘现场资格审核材料清单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诸暨市教育体育局面向2026年应届高校优秀毕业生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招聘教师报名表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》一份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本人身份证、学生证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、一寸免冠近照1张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3.户口簿原件和复印件；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4.符合报考条件的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获奖证书（公示文件不得作为获奖依据）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学校开具的就读证明、《教育部学籍在线验证报告》（网站地址：中国高等教育学生信息网http://www.chsi.com.cn/）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6.按第3条、第4条本科师范生报考的，须提供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标注有“师范类”字样的《教育部学籍在线验证报告》（网站地址：中国高等教育学生信息网http://www.chsi.com.cn/）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师范生教师职业能力证书或本科高校原始录取凭证等原件与复印件；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0" w:rightChars="0"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7.第4条中按本科就读高校条件报考的硕士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还须提供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学历、学位证书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原件和复印件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8.学校核发的就业推荐表和《普通高校毕业生就业协议书》（因网签等原因无法提供就业协议书的，须如实提供学校出具的书面说明）。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00" w:lineRule="exact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</w:p>
    <w:p>
      <w:pPr>
        <w:spacing w:line="440" w:lineRule="exact"/>
        <w:jc w:val="center"/>
        <w:rPr>
          <w:rFonts w:hint="eastAsia" w:ascii="方正小标宋简体" w:hAnsi="新宋体" w:eastAsia="方正小标宋简体"/>
          <w:sz w:val="32"/>
          <w:szCs w:val="32"/>
        </w:rPr>
      </w:pPr>
      <w:r>
        <w:rPr>
          <w:rFonts w:hint="eastAsia" w:ascii="方正小标宋简体" w:hAnsi="新宋体" w:eastAsia="方正小标宋简体"/>
          <w:sz w:val="32"/>
          <w:szCs w:val="32"/>
        </w:rPr>
        <w:t>诸暨市普高学校面向2026年应届高校</w:t>
      </w:r>
      <w:r>
        <w:rPr>
          <w:rFonts w:hint="eastAsia" w:ascii="方正小标宋简体" w:hAnsi="新宋体" w:eastAsia="方正小标宋简体" w:cs="Times New Roman"/>
          <w:sz w:val="32"/>
          <w:szCs w:val="32"/>
        </w:rPr>
        <w:t>优秀毕业</w:t>
      </w:r>
      <w:r>
        <w:rPr>
          <w:rFonts w:hint="eastAsia" w:ascii="方正小标宋简体" w:hAnsi="新宋体" w:eastAsia="方正小标宋简体"/>
          <w:sz w:val="32"/>
          <w:szCs w:val="32"/>
        </w:rPr>
        <w:t>生</w:t>
      </w:r>
    </w:p>
    <w:p>
      <w:pPr>
        <w:spacing w:line="440" w:lineRule="exact"/>
        <w:jc w:val="center"/>
        <w:rPr>
          <w:rFonts w:hint="default" w:ascii="方正小标宋简体" w:hAnsi="新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新宋体" w:eastAsia="方正小标宋简体"/>
          <w:sz w:val="32"/>
          <w:szCs w:val="32"/>
          <w:lang w:val="en-US" w:eastAsia="zh-CN"/>
        </w:rPr>
        <w:t>招聘教师有关待遇一览表</w:t>
      </w:r>
    </w:p>
    <w:tbl>
      <w:tblPr>
        <w:tblStyle w:val="8"/>
        <w:tblpPr w:leftFromText="180" w:rightFromText="180" w:vertAnchor="page" w:horzAnchor="page" w:tblpX="1134" w:tblpY="2867"/>
        <w:tblOverlap w:val="never"/>
        <w:tblW w:w="10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885"/>
        <w:gridCol w:w="3447"/>
        <w:gridCol w:w="870"/>
        <w:gridCol w:w="630"/>
        <w:gridCol w:w="660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87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人才类别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工资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待遇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（万元/年）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人才奖励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（万元/年）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安居保障安家补贴购房补贴等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现就读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院  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第一学历就读院校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或其他要求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基础奖励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学年考核奖励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清华大学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18-20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根据学校相关制度开展考核，考核优秀奖励5万元/年，合格奖励3万元/年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根据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2025年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诸暨市人才政策，给予人才保障房免费居住5年；给予博士研究生购房补贴50万元、安家补贴9万元；给予硕士研究生安家补贴6万元（以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年发布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人才政策为准）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C9（除清华大学、北京大学）、中国人民大学、中国科学院大学、北京师范大学、华东师范大学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6所部属师范大学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本科阶段为部属公费师范生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6所部属师范大学及南京师范大学、华南师范大学、湖南师范大学、首都师范大学；浙江师范大学初阳学院、杭州师范大学经亨颐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实验班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本科阶段为此类别高校师范类专业（除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浙江师范大学初阳学院、杭州师范大学经亨颐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实验班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且本科阶段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获得过国家奖学金（不含国家励志奖学金）、省政府奖学金、校级优秀学生一等奖学金、省级高等学校师范生教学技能竞赛一等奖或“田家炳杯”全国师范院校师范生教学技能竞赛获奖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b/>
          <w:bCs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1.本政策适用于本次招聘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到</w:t>
      </w:r>
      <w:r>
        <w:rPr>
          <w:rFonts w:hint="eastAsia" w:ascii="仿宋_GB2312" w:eastAsia="仿宋_GB2312"/>
          <w:sz w:val="21"/>
          <w:szCs w:val="21"/>
        </w:rPr>
        <w:t>诸暨市普高学校任教高考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文化课科目的</w:t>
      </w:r>
      <w:r>
        <w:rPr>
          <w:rFonts w:hint="eastAsia" w:ascii="仿宋_GB2312" w:eastAsia="仿宋_GB2312"/>
          <w:sz w:val="21"/>
          <w:szCs w:val="21"/>
        </w:rPr>
        <w:t>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21"/>
          <w:szCs w:val="21"/>
        </w:rPr>
        <w:t>对于特别优秀的人才、紧缺学科或竞赛获奖教师，可实行“一事一议”政策，具体待遇面谈确定；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3.夫妻双方均为全日制博士且同时购房的，可享受150万元购房补贴；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4.若符合多种人才类别的，按照就高不重复原则享受政策；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5.除上述人才类别外，根据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2025年</w:t>
      </w:r>
      <w:r>
        <w:rPr>
          <w:rFonts w:hint="eastAsia" w:ascii="仿宋_GB2312" w:eastAsia="仿宋_GB2312"/>
          <w:sz w:val="21"/>
          <w:szCs w:val="21"/>
        </w:rPr>
        <w:t>诸暨市人才政策，对引进的全日制博士给予最高50万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元</w:t>
      </w:r>
      <w:r>
        <w:rPr>
          <w:rFonts w:hint="eastAsia" w:ascii="仿宋_GB2312" w:eastAsia="仿宋_GB2312"/>
          <w:sz w:val="21"/>
          <w:szCs w:val="21"/>
        </w:rPr>
        <w:t>购房补贴和9万元安家补贴；对引进的“双一流”高校硕士给予6万元安家补贴（具体金额以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2026年</w:t>
      </w:r>
      <w:r>
        <w:rPr>
          <w:rFonts w:hint="eastAsia" w:ascii="仿宋_GB2312" w:eastAsia="仿宋_GB2312"/>
          <w:sz w:val="21"/>
          <w:szCs w:val="21"/>
        </w:rPr>
        <w:t>发布</w:t>
      </w:r>
      <w:r>
        <w:rPr>
          <w:rFonts w:hint="eastAsia" w:ascii="仿宋_GB2312" w:eastAsia="仿宋_GB2312"/>
          <w:sz w:val="21"/>
          <w:szCs w:val="21"/>
          <w:lang w:eastAsia="zh-CN"/>
        </w:rPr>
        <w:t>的</w:t>
      </w:r>
      <w:r>
        <w:rPr>
          <w:rFonts w:hint="eastAsia" w:ascii="仿宋_GB2312" w:eastAsia="仿宋_GB2312"/>
          <w:sz w:val="21"/>
          <w:szCs w:val="21"/>
        </w:rPr>
        <w:t>人才政策为准）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>
      <w:pPr>
        <w:spacing w:line="50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高校大学生来诸暨教育实践（见习实习）补贴</w:t>
      </w:r>
    </w:p>
    <w:tbl>
      <w:tblPr>
        <w:tblStyle w:val="8"/>
        <w:tblpPr w:leftFromText="180" w:rightFromText="180" w:vertAnchor="text" w:horzAnchor="page" w:tblpX="945" w:tblpY="225"/>
        <w:tblOverlap w:val="never"/>
        <w:tblW w:w="103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53"/>
        <w:gridCol w:w="1593"/>
        <w:gridCol w:w="2596"/>
        <w:gridCol w:w="761"/>
        <w:gridCol w:w="1443"/>
        <w:gridCol w:w="7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高校类别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见习实习类别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  <w:t>见习实习补贴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清华大学、北京大学、其他C9联盟高校、中国人民大学、中国科学院大学、北京师范大学、华东师范大学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1.按每人每天不超过150元标准安排食宿；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2.可优先选择入住市“青春公寓”（先到先得，住满为止）。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缴纳工伤保险或人身意外保险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安排市内名优教师帮带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1.同一学校3人及以上组团来诸暨教育实践（见习实习）可发放交通补贴（省内300元/人.年；华东地区（除浙江省）800元/人.年；其他地区（除华东地区）1500元/人.年）；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2.发放市内交通卡（每人每年度享受一次）。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6所部属师范大学（除北京师范大学、华东师范大学）及南京师范大学、华南师范大学、湖南师范大学、首都师范大学的师范类；浙江师范大学初阳学院、杭州师范大学经亨颐实验班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按每人每天不超过120元标准安排食宿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1.同一学校3人及以上组团来诸暨教育实践（见习实习）可发放交通补贴（省内300元/人.年；华东地区（除浙江省）800元/人.年；其他地区（除华东地区）1500元/人.年）；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2.发放市内交通卡（每人每年度享受一次）。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按照本市最低工资标准的80%发放补贴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其他国内部分高校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免费安排食宿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安排校内骨干教师帮带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发放市内交通卡（每人每年度享受一次）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按照本市最低工资标准的60%发放补贴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1.教育实践（见习实习）是指在教体系统学校教学一线开展教学实践活动；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2.其他国内部分高校为第二轮“双一流”建设高校和上海师范大学、福建师范大学、江苏师范大学、浙江师范大学、杭州师范大学、山东师范大学、天津师范大学、重庆师范大学、河北师范大学的师范类；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3.预约报名：关注“诸暨市人才发展集团有限公司”公众号预约报名或拨打咨询热线4009889898，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每年根据教育实际情况分学期提供见习实习岗位（不少于100个），本学期集中预约时间为9月25日至10月25日；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4.来诸第一站：诸暨市人力资源服务产业园（诸暨市艮塔西路132号）；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5.若符合多种人才类别的，按照就高不重复原则享受政策；如遇诸暨市相关政策调整，按最新政策执行。</w:t>
      </w:r>
    </w:p>
    <w:sectPr>
      <w:footerReference r:id="rId3" w:type="default"/>
      <w:pgSz w:w="11906" w:h="16838"/>
      <w:pgMar w:top="1440" w:right="1633" w:bottom="1440" w:left="19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WY1ZTcwNmMzNWQ3MDU3YmYxODQ3NTljMWZjMGYifQ=="/>
  </w:docVars>
  <w:rsids>
    <w:rsidRoot w:val="28CB581C"/>
    <w:rsid w:val="0000110C"/>
    <w:rsid w:val="00012AA8"/>
    <w:rsid w:val="00027ED8"/>
    <w:rsid w:val="00053AD3"/>
    <w:rsid w:val="000E3197"/>
    <w:rsid w:val="00136CFA"/>
    <w:rsid w:val="00164E62"/>
    <w:rsid w:val="00186441"/>
    <w:rsid w:val="001A1CB8"/>
    <w:rsid w:val="001D15AD"/>
    <w:rsid w:val="002158EC"/>
    <w:rsid w:val="0027243E"/>
    <w:rsid w:val="0028794C"/>
    <w:rsid w:val="002B5CF4"/>
    <w:rsid w:val="002C4571"/>
    <w:rsid w:val="002E12D9"/>
    <w:rsid w:val="00312B17"/>
    <w:rsid w:val="00442BCD"/>
    <w:rsid w:val="004A013E"/>
    <w:rsid w:val="004B1C70"/>
    <w:rsid w:val="004E374D"/>
    <w:rsid w:val="00565F89"/>
    <w:rsid w:val="005919D2"/>
    <w:rsid w:val="005A4657"/>
    <w:rsid w:val="005B020B"/>
    <w:rsid w:val="005C0D17"/>
    <w:rsid w:val="005D02DD"/>
    <w:rsid w:val="005D3EFF"/>
    <w:rsid w:val="005D74E0"/>
    <w:rsid w:val="005F6D44"/>
    <w:rsid w:val="00600CB6"/>
    <w:rsid w:val="0063642A"/>
    <w:rsid w:val="006509FE"/>
    <w:rsid w:val="006C35DD"/>
    <w:rsid w:val="006F448D"/>
    <w:rsid w:val="00767141"/>
    <w:rsid w:val="007804C0"/>
    <w:rsid w:val="007913E4"/>
    <w:rsid w:val="008724B9"/>
    <w:rsid w:val="00890E69"/>
    <w:rsid w:val="008A3DC1"/>
    <w:rsid w:val="008F05B4"/>
    <w:rsid w:val="00915F31"/>
    <w:rsid w:val="009B62F8"/>
    <w:rsid w:val="009C68E5"/>
    <w:rsid w:val="00AA4B07"/>
    <w:rsid w:val="00B05C2D"/>
    <w:rsid w:val="00B17032"/>
    <w:rsid w:val="00B258CC"/>
    <w:rsid w:val="00B25BA4"/>
    <w:rsid w:val="00B27252"/>
    <w:rsid w:val="00B339AC"/>
    <w:rsid w:val="00BD0FDB"/>
    <w:rsid w:val="00BE3658"/>
    <w:rsid w:val="00C01CB3"/>
    <w:rsid w:val="00C114D0"/>
    <w:rsid w:val="00C51819"/>
    <w:rsid w:val="00C60684"/>
    <w:rsid w:val="00D122BE"/>
    <w:rsid w:val="00D929C1"/>
    <w:rsid w:val="00D965A9"/>
    <w:rsid w:val="00DA73CA"/>
    <w:rsid w:val="00DD269E"/>
    <w:rsid w:val="00DF19E7"/>
    <w:rsid w:val="00DF4DF6"/>
    <w:rsid w:val="00EC1A00"/>
    <w:rsid w:val="00EC4DB3"/>
    <w:rsid w:val="00ED23B1"/>
    <w:rsid w:val="00EE4366"/>
    <w:rsid w:val="00F738B9"/>
    <w:rsid w:val="00F82E37"/>
    <w:rsid w:val="00FC150B"/>
    <w:rsid w:val="00FE59A9"/>
    <w:rsid w:val="01250F64"/>
    <w:rsid w:val="01256EF0"/>
    <w:rsid w:val="01276B70"/>
    <w:rsid w:val="013A6EFD"/>
    <w:rsid w:val="013D2DEE"/>
    <w:rsid w:val="01413D88"/>
    <w:rsid w:val="018D6FF3"/>
    <w:rsid w:val="01932E3D"/>
    <w:rsid w:val="019A6790"/>
    <w:rsid w:val="01AF2287"/>
    <w:rsid w:val="01BF386B"/>
    <w:rsid w:val="01CF56B4"/>
    <w:rsid w:val="01E96976"/>
    <w:rsid w:val="01F617C7"/>
    <w:rsid w:val="01FE3350"/>
    <w:rsid w:val="0217616A"/>
    <w:rsid w:val="02705C0D"/>
    <w:rsid w:val="02C45698"/>
    <w:rsid w:val="02C73345"/>
    <w:rsid w:val="031907AC"/>
    <w:rsid w:val="035F7D86"/>
    <w:rsid w:val="048E1EDE"/>
    <w:rsid w:val="04A226AA"/>
    <w:rsid w:val="04AA4233"/>
    <w:rsid w:val="04B6737C"/>
    <w:rsid w:val="04DE256C"/>
    <w:rsid w:val="04F62134"/>
    <w:rsid w:val="0520145B"/>
    <w:rsid w:val="054425F0"/>
    <w:rsid w:val="05520CE8"/>
    <w:rsid w:val="05EC3CFE"/>
    <w:rsid w:val="060025E6"/>
    <w:rsid w:val="06223E20"/>
    <w:rsid w:val="0623601E"/>
    <w:rsid w:val="06456969"/>
    <w:rsid w:val="06863B44"/>
    <w:rsid w:val="06C21870"/>
    <w:rsid w:val="06D76DC6"/>
    <w:rsid w:val="06E04BD5"/>
    <w:rsid w:val="070442E4"/>
    <w:rsid w:val="074B3AB6"/>
    <w:rsid w:val="075B093C"/>
    <w:rsid w:val="076D05BF"/>
    <w:rsid w:val="07BD28E7"/>
    <w:rsid w:val="07F20818"/>
    <w:rsid w:val="080623A4"/>
    <w:rsid w:val="08297BEC"/>
    <w:rsid w:val="083002FD"/>
    <w:rsid w:val="0839544D"/>
    <w:rsid w:val="083C0BEA"/>
    <w:rsid w:val="084367F0"/>
    <w:rsid w:val="087C4EF9"/>
    <w:rsid w:val="08D12C20"/>
    <w:rsid w:val="08D407C9"/>
    <w:rsid w:val="08E1029F"/>
    <w:rsid w:val="094D3907"/>
    <w:rsid w:val="099A5DD9"/>
    <w:rsid w:val="09A039D0"/>
    <w:rsid w:val="09B8300D"/>
    <w:rsid w:val="09BD7EA8"/>
    <w:rsid w:val="09F430A6"/>
    <w:rsid w:val="0A2C7BD6"/>
    <w:rsid w:val="0A35428A"/>
    <w:rsid w:val="0A360BFC"/>
    <w:rsid w:val="0A4E0677"/>
    <w:rsid w:val="0A5C34F7"/>
    <w:rsid w:val="0A983197"/>
    <w:rsid w:val="0AAF3B94"/>
    <w:rsid w:val="0B454C8E"/>
    <w:rsid w:val="0B4B0D88"/>
    <w:rsid w:val="0B542FE3"/>
    <w:rsid w:val="0B7A51B9"/>
    <w:rsid w:val="0B860374"/>
    <w:rsid w:val="0BD77AE0"/>
    <w:rsid w:val="0BD97DDA"/>
    <w:rsid w:val="0BEC359B"/>
    <w:rsid w:val="0C1F5CC2"/>
    <w:rsid w:val="0C2A30A7"/>
    <w:rsid w:val="0C43782D"/>
    <w:rsid w:val="0C4D33F9"/>
    <w:rsid w:val="0C5169A7"/>
    <w:rsid w:val="0C7136AA"/>
    <w:rsid w:val="0C8E4429"/>
    <w:rsid w:val="0CA91587"/>
    <w:rsid w:val="0CD3585D"/>
    <w:rsid w:val="0CF86057"/>
    <w:rsid w:val="0D080870"/>
    <w:rsid w:val="0D2E26C4"/>
    <w:rsid w:val="0D490850"/>
    <w:rsid w:val="0D621C26"/>
    <w:rsid w:val="0D9B197A"/>
    <w:rsid w:val="0DCB7EBA"/>
    <w:rsid w:val="0DE4231B"/>
    <w:rsid w:val="0E095E94"/>
    <w:rsid w:val="0E0A1E1D"/>
    <w:rsid w:val="0E4805D8"/>
    <w:rsid w:val="0E523D0A"/>
    <w:rsid w:val="0E7C03D1"/>
    <w:rsid w:val="0E9D0906"/>
    <w:rsid w:val="0EC046DA"/>
    <w:rsid w:val="0F316BFB"/>
    <w:rsid w:val="0F4C00E6"/>
    <w:rsid w:val="0F577059"/>
    <w:rsid w:val="0F7C450C"/>
    <w:rsid w:val="0F972411"/>
    <w:rsid w:val="0F9E189C"/>
    <w:rsid w:val="0F9F722F"/>
    <w:rsid w:val="0FC7596C"/>
    <w:rsid w:val="0FE9531F"/>
    <w:rsid w:val="0FF56939"/>
    <w:rsid w:val="0FF71E3C"/>
    <w:rsid w:val="101504F3"/>
    <w:rsid w:val="105502EF"/>
    <w:rsid w:val="107B7E97"/>
    <w:rsid w:val="108871AD"/>
    <w:rsid w:val="108F655E"/>
    <w:rsid w:val="10D11C5B"/>
    <w:rsid w:val="10D32BA6"/>
    <w:rsid w:val="10EA0B23"/>
    <w:rsid w:val="10F475CB"/>
    <w:rsid w:val="11185C38"/>
    <w:rsid w:val="112D3911"/>
    <w:rsid w:val="115D0906"/>
    <w:rsid w:val="11726DD8"/>
    <w:rsid w:val="11BA7DC4"/>
    <w:rsid w:val="11D23CCC"/>
    <w:rsid w:val="11D648D0"/>
    <w:rsid w:val="11F25E75"/>
    <w:rsid w:val="12132A9C"/>
    <w:rsid w:val="12192929"/>
    <w:rsid w:val="12257666"/>
    <w:rsid w:val="122F1A34"/>
    <w:rsid w:val="122F6AAC"/>
    <w:rsid w:val="1236016D"/>
    <w:rsid w:val="123E0CEE"/>
    <w:rsid w:val="12846459"/>
    <w:rsid w:val="12882B18"/>
    <w:rsid w:val="12902640"/>
    <w:rsid w:val="12BE7896"/>
    <w:rsid w:val="130B4553"/>
    <w:rsid w:val="130C274F"/>
    <w:rsid w:val="134A06D6"/>
    <w:rsid w:val="134B59B9"/>
    <w:rsid w:val="13795301"/>
    <w:rsid w:val="13C44C6D"/>
    <w:rsid w:val="13D7346E"/>
    <w:rsid w:val="13D95210"/>
    <w:rsid w:val="13E55518"/>
    <w:rsid w:val="14023921"/>
    <w:rsid w:val="1412534E"/>
    <w:rsid w:val="14131C7C"/>
    <w:rsid w:val="14274DC3"/>
    <w:rsid w:val="142F3046"/>
    <w:rsid w:val="14576EEE"/>
    <w:rsid w:val="145A7E72"/>
    <w:rsid w:val="147565C3"/>
    <w:rsid w:val="149136E9"/>
    <w:rsid w:val="14B64D09"/>
    <w:rsid w:val="14C75E94"/>
    <w:rsid w:val="14D47A12"/>
    <w:rsid w:val="14F944F9"/>
    <w:rsid w:val="14FF6402"/>
    <w:rsid w:val="151F0EB5"/>
    <w:rsid w:val="151F26DE"/>
    <w:rsid w:val="152966AF"/>
    <w:rsid w:val="153A04C7"/>
    <w:rsid w:val="15767345"/>
    <w:rsid w:val="15806083"/>
    <w:rsid w:val="159077FC"/>
    <w:rsid w:val="15F221E6"/>
    <w:rsid w:val="16263C66"/>
    <w:rsid w:val="16690F10"/>
    <w:rsid w:val="16B1384A"/>
    <w:rsid w:val="16BC7825"/>
    <w:rsid w:val="16BF4D5E"/>
    <w:rsid w:val="16EE7E2B"/>
    <w:rsid w:val="16F60ABB"/>
    <w:rsid w:val="16FD3A2F"/>
    <w:rsid w:val="171164C1"/>
    <w:rsid w:val="172F52EF"/>
    <w:rsid w:val="174A6CB7"/>
    <w:rsid w:val="17676863"/>
    <w:rsid w:val="179C2079"/>
    <w:rsid w:val="17CE764D"/>
    <w:rsid w:val="17EE22B8"/>
    <w:rsid w:val="180A2095"/>
    <w:rsid w:val="180B4E39"/>
    <w:rsid w:val="1824372C"/>
    <w:rsid w:val="184D326B"/>
    <w:rsid w:val="18541F6E"/>
    <w:rsid w:val="18551C9E"/>
    <w:rsid w:val="18741DBA"/>
    <w:rsid w:val="188D4054"/>
    <w:rsid w:val="18C96438"/>
    <w:rsid w:val="19034506"/>
    <w:rsid w:val="193225E4"/>
    <w:rsid w:val="1952091A"/>
    <w:rsid w:val="196B01BF"/>
    <w:rsid w:val="196F62FD"/>
    <w:rsid w:val="198562B7"/>
    <w:rsid w:val="19D570A3"/>
    <w:rsid w:val="19DE20D8"/>
    <w:rsid w:val="19FC18D7"/>
    <w:rsid w:val="1A003F36"/>
    <w:rsid w:val="1A6E5B4D"/>
    <w:rsid w:val="1AB518B2"/>
    <w:rsid w:val="1AC73FB2"/>
    <w:rsid w:val="1ACD2E28"/>
    <w:rsid w:val="1AD003D6"/>
    <w:rsid w:val="1AE8148B"/>
    <w:rsid w:val="1B192484"/>
    <w:rsid w:val="1B5A6653"/>
    <w:rsid w:val="1B6475B4"/>
    <w:rsid w:val="1B7E3D2C"/>
    <w:rsid w:val="1B8D5067"/>
    <w:rsid w:val="1BD0092E"/>
    <w:rsid w:val="1BF328A2"/>
    <w:rsid w:val="1BFE7938"/>
    <w:rsid w:val="1C022446"/>
    <w:rsid w:val="1C3303E2"/>
    <w:rsid w:val="1C36561C"/>
    <w:rsid w:val="1C4E7B62"/>
    <w:rsid w:val="1C787E42"/>
    <w:rsid w:val="1C795187"/>
    <w:rsid w:val="1C806670"/>
    <w:rsid w:val="1CB332FA"/>
    <w:rsid w:val="1CC11E09"/>
    <w:rsid w:val="1CFB5F01"/>
    <w:rsid w:val="1D012325"/>
    <w:rsid w:val="1D333EE0"/>
    <w:rsid w:val="1D3659A4"/>
    <w:rsid w:val="1D56658B"/>
    <w:rsid w:val="1D7C725F"/>
    <w:rsid w:val="1D8266F9"/>
    <w:rsid w:val="1D9C783F"/>
    <w:rsid w:val="1DC0145E"/>
    <w:rsid w:val="1DE7038C"/>
    <w:rsid w:val="1E04403D"/>
    <w:rsid w:val="1E117F64"/>
    <w:rsid w:val="1E1556B8"/>
    <w:rsid w:val="1E274306"/>
    <w:rsid w:val="1E40742E"/>
    <w:rsid w:val="1E594890"/>
    <w:rsid w:val="1E6A9507"/>
    <w:rsid w:val="1E7451F5"/>
    <w:rsid w:val="1E8F4FAF"/>
    <w:rsid w:val="1E930A85"/>
    <w:rsid w:val="1E93130D"/>
    <w:rsid w:val="1E9C42C4"/>
    <w:rsid w:val="1EA16957"/>
    <w:rsid w:val="1EA512DF"/>
    <w:rsid w:val="1EF54B41"/>
    <w:rsid w:val="1F0648B1"/>
    <w:rsid w:val="1F2B3EFC"/>
    <w:rsid w:val="1F6B2E5E"/>
    <w:rsid w:val="1F6C5B36"/>
    <w:rsid w:val="1FBA251E"/>
    <w:rsid w:val="1FBD34A2"/>
    <w:rsid w:val="1FE96AFF"/>
    <w:rsid w:val="1FF364A0"/>
    <w:rsid w:val="1FF6107E"/>
    <w:rsid w:val="20000F5F"/>
    <w:rsid w:val="200239A4"/>
    <w:rsid w:val="201E5C9B"/>
    <w:rsid w:val="20330EE3"/>
    <w:rsid w:val="20582F84"/>
    <w:rsid w:val="20587928"/>
    <w:rsid w:val="20784E15"/>
    <w:rsid w:val="20C57759"/>
    <w:rsid w:val="20D15B26"/>
    <w:rsid w:val="20E56788"/>
    <w:rsid w:val="20EF1296"/>
    <w:rsid w:val="20F80209"/>
    <w:rsid w:val="2142329E"/>
    <w:rsid w:val="21A02F7B"/>
    <w:rsid w:val="21A41AE7"/>
    <w:rsid w:val="21B6396E"/>
    <w:rsid w:val="223863B8"/>
    <w:rsid w:val="223A3836"/>
    <w:rsid w:val="224C14C2"/>
    <w:rsid w:val="22537E33"/>
    <w:rsid w:val="22584DB1"/>
    <w:rsid w:val="22637543"/>
    <w:rsid w:val="2271125E"/>
    <w:rsid w:val="22A57383"/>
    <w:rsid w:val="22E664C9"/>
    <w:rsid w:val="22EF2060"/>
    <w:rsid w:val="22F870EC"/>
    <w:rsid w:val="230B5347"/>
    <w:rsid w:val="23227D24"/>
    <w:rsid w:val="23786A46"/>
    <w:rsid w:val="237B70CD"/>
    <w:rsid w:val="238F08E5"/>
    <w:rsid w:val="247305DE"/>
    <w:rsid w:val="24847EF8"/>
    <w:rsid w:val="24894380"/>
    <w:rsid w:val="24A3513A"/>
    <w:rsid w:val="24B43997"/>
    <w:rsid w:val="25167467"/>
    <w:rsid w:val="257D2CAE"/>
    <w:rsid w:val="25DC5F2B"/>
    <w:rsid w:val="25DD39AD"/>
    <w:rsid w:val="26105061"/>
    <w:rsid w:val="262153A9"/>
    <w:rsid w:val="262E5023"/>
    <w:rsid w:val="26352CD7"/>
    <w:rsid w:val="2678382B"/>
    <w:rsid w:val="26900ED2"/>
    <w:rsid w:val="26A63CFE"/>
    <w:rsid w:val="27324309"/>
    <w:rsid w:val="274C20B0"/>
    <w:rsid w:val="277A1E21"/>
    <w:rsid w:val="279A2A09"/>
    <w:rsid w:val="279D676B"/>
    <w:rsid w:val="27B51034"/>
    <w:rsid w:val="27EC5A7D"/>
    <w:rsid w:val="27FB5F25"/>
    <w:rsid w:val="285663F4"/>
    <w:rsid w:val="285B1D54"/>
    <w:rsid w:val="28CB581C"/>
    <w:rsid w:val="29252190"/>
    <w:rsid w:val="294778BF"/>
    <w:rsid w:val="29847FAB"/>
    <w:rsid w:val="29DD3DD9"/>
    <w:rsid w:val="2A362444"/>
    <w:rsid w:val="2A67601F"/>
    <w:rsid w:val="2A7D01C3"/>
    <w:rsid w:val="2AAB7A0D"/>
    <w:rsid w:val="2AC272FC"/>
    <w:rsid w:val="2AC36639"/>
    <w:rsid w:val="2B5663C7"/>
    <w:rsid w:val="2B7F4518"/>
    <w:rsid w:val="2B854CA5"/>
    <w:rsid w:val="2B885BD7"/>
    <w:rsid w:val="2B9F2791"/>
    <w:rsid w:val="2BAE1BB9"/>
    <w:rsid w:val="2BB611C4"/>
    <w:rsid w:val="2BC5570E"/>
    <w:rsid w:val="2BD72E83"/>
    <w:rsid w:val="2C0B5BA1"/>
    <w:rsid w:val="2C2E553A"/>
    <w:rsid w:val="2C324391"/>
    <w:rsid w:val="2C56507C"/>
    <w:rsid w:val="2C703E76"/>
    <w:rsid w:val="2C7E583B"/>
    <w:rsid w:val="2CAD2909"/>
    <w:rsid w:val="2CB47B06"/>
    <w:rsid w:val="2CDC666C"/>
    <w:rsid w:val="2D303E72"/>
    <w:rsid w:val="2D3573C5"/>
    <w:rsid w:val="2D4E3864"/>
    <w:rsid w:val="2D5055E1"/>
    <w:rsid w:val="2D9A52BC"/>
    <w:rsid w:val="2DBA0995"/>
    <w:rsid w:val="2DBA6ABB"/>
    <w:rsid w:val="2DBB0A37"/>
    <w:rsid w:val="2DD50FC7"/>
    <w:rsid w:val="2DD66AAF"/>
    <w:rsid w:val="2DFD4824"/>
    <w:rsid w:val="2E020ED5"/>
    <w:rsid w:val="2E180D2E"/>
    <w:rsid w:val="2E180DBD"/>
    <w:rsid w:val="2E972A34"/>
    <w:rsid w:val="2EA50FE1"/>
    <w:rsid w:val="2EE20276"/>
    <w:rsid w:val="2F0D2540"/>
    <w:rsid w:val="2F2D551B"/>
    <w:rsid w:val="2F661B6F"/>
    <w:rsid w:val="2F7431E9"/>
    <w:rsid w:val="2F976C21"/>
    <w:rsid w:val="2FA04745"/>
    <w:rsid w:val="2FFC4BC4"/>
    <w:rsid w:val="30460ADF"/>
    <w:rsid w:val="3073730C"/>
    <w:rsid w:val="30D85560"/>
    <w:rsid w:val="30D87C7D"/>
    <w:rsid w:val="31046578"/>
    <w:rsid w:val="312364AC"/>
    <w:rsid w:val="313E7AB2"/>
    <w:rsid w:val="31534978"/>
    <w:rsid w:val="3166141B"/>
    <w:rsid w:val="318D3456"/>
    <w:rsid w:val="31D53C4D"/>
    <w:rsid w:val="31F9242D"/>
    <w:rsid w:val="32554A0D"/>
    <w:rsid w:val="32BE45FC"/>
    <w:rsid w:val="32DC69FE"/>
    <w:rsid w:val="32EB3B6C"/>
    <w:rsid w:val="32F553A9"/>
    <w:rsid w:val="33242675"/>
    <w:rsid w:val="334547EF"/>
    <w:rsid w:val="335D0251"/>
    <w:rsid w:val="336E17F0"/>
    <w:rsid w:val="33D4602F"/>
    <w:rsid w:val="34247AD1"/>
    <w:rsid w:val="34351FBE"/>
    <w:rsid w:val="34391C21"/>
    <w:rsid w:val="34492771"/>
    <w:rsid w:val="344B5782"/>
    <w:rsid w:val="345A6628"/>
    <w:rsid w:val="347A71BB"/>
    <w:rsid w:val="348324BE"/>
    <w:rsid w:val="34D26B62"/>
    <w:rsid w:val="34DD11FA"/>
    <w:rsid w:val="34E03C50"/>
    <w:rsid w:val="351006CF"/>
    <w:rsid w:val="3511441F"/>
    <w:rsid w:val="352630BF"/>
    <w:rsid w:val="3529164C"/>
    <w:rsid w:val="355C3050"/>
    <w:rsid w:val="35740C40"/>
    <w:rsid w:val="3577362A"/>
    <w:rsid w:val="35906305"/>
    <w:rsid w:val="35A67A28"/>
    <w:rsid w:val="35CB6607"/>
    <w:rsid w:val="35D736E2"/>
    <w:rsid w:val="35F25D35"/>
    <w:rsid w:val="35F34347"/>
    <w:rsid w:val="36362BA5"/>
    <w:rsid w:val="36473A40"/>
    <w:rsid w:val="367D16B5"/>
    <w:rsid w:val="36A6383E"/>
    <w:rsid w:val="36B23B4B"/>
    <w:rsid w:val="36E35051"/>
    <w:rsid w:val="36E72D20"/>
    <w:rsid w:val="36F7116C"/>
    <w:rsid w:val="375B582E"/>
    <w:rsid w:val="3763266A"/>
    <w:rsid w:val="376C0798"/>
    <w:rsid w:val="37CD7B1B"/>
    <w:rsid w:val="37EE5AD1"/>
    <w:rsid w:val="38020DA8"/>
    <w:rsid w:val="38090C62"/>
    <w:rsid w:val="38192198"/>
    <w:rsid w:val="386B225A"/>
    <w:rsid w:val="38732431"/>
    <w:rsid w:val="38FB278B"/>
    <w:rsid w:val="391A112D"/>
    <w:rsid w:val="392230FF"/>
    <w:rsid w:val="39507C78"/>
    <w:rsid w:val="39607F31"/>
    <w:rsid w:val="396823B3"/>
    <w:rsid w:val="397242B5"/>
    <w:rsid w:val="398B4130"/>
    <w:rsid w:val="39A2421E"/>
    <w:rsid w:val="39CC783F"/>
    <w:rsid w:val="39CE16D6"/>
    <w:rsid w:val="3A370E8E"/>
    <w:rsid w:val="3A415CEC"/>
    <w:rsid w:val="3A4F03C3"/>
    <w:rsid w:val="3A5B49D3"/>
    <w:rsid w:val="3A646A7E"/>
    <w:rsid w:val="3AB9677D"/>
    <w:rsid w:val="3ADE15A9"/>
    <w:rsid w:val="3B1C6140"/>
    <w:rsid w:val="3B36172B"/>
    <w:rsid w:val="3B3D6B7F"/>
    <w:rsid w:val="3B6273C4"/>
    <w:rsid w:val="3B6A48E0"/>
    <w:rsid w:val="3B7079B4"/>
    <w:rsid w:val="3C3663D5"/>
    <w:rsid w:val="3C44757C"/>
    <w:rsid w:val="3C4E187E"/>
    <w:rsid w:val="3C536A3E"/>
    <w:rsid w:val="3C5E02C4"/>
    <w:rsid w:val="3C853451"/>
    <w:rsid w:val="3CA77CC4"/>
    <w:rsid w:val="3CAB1C17"/>
    <w:rsid w:val="3D0F6B28"/>
    <w:rsid w:val="3D171F98"/>
    <w:rsid w:val="3D2D6CED"/>
    <w:rsid w:val="3D7613F9"/>
    <w:rsid w:val="3D785BC6"/>
    <w:rsid w:val="3D9F7A2D"/>
    <w:rsid w:val="3DA70BB6"/>
    <w:rsid w:val="3DC0546C"/>
    <w:rsid w:val="3DD319DB"/>
    <w:rsid w:val="3DFF4243"/>
    <w:rsid w:val="3DFFAC75"/>
    <w:rsid w:val="3E0E6961"/>
    <w:rsid w:val="3E426E79"/>
    <w:rsid w:val="3E52324D"/>
    <w:rsid w:val="3E8C212D"/>
    <w:rsid w:val="3E9E1A93"/>
    <w:rsid w:val="3E9E4388"/>
    <w:rsid w:val="3EB23790"/>
    <w:rsid w:val="3F2B2F30"/>
    <w:rsid w:val="3F30230B"/>
    <w:rsid w:val="3F302C3B"/>
    <w:rsid w:val="3F5B39FD"/>
    <w:rsid w:val="3F873EE3"/>
    <w:rsid w:val="3FA330D9"/>
    <w:rsid w:val="3FAA62A1"/>
    <w:rsid w:val="3FAC56D7"/>
    <w:rsid w:val="3FF15276"/>
    <w:rsid w:val="40092E48"/>
    <w:rsid w:val="400E46BD"/>
    <w:rsid w:val="40112E85"/>
    <w:rsid w:val="401A3B15"/>
    <w:rsid w:val="402E5362"/>
    <w:rsid w:val="403C65F0"/>
    <w:rsid w:val="404F64D7"/>
    <w:rsid w:val="4058011F"/>
    <w:rsid w:val="406E43CE"/>
    <w:rsid w:val="40861F20"/>
    <w:rsid w:val="40A35D86"/>
    <w:rsid w:val="40AB2127"/>
    <w:rsid w:val="40CB146A"/>
    <w:rsid w:val="40ED0609"/>
    <w:rsid w:val="40F2470F"/>
    <w:rsid w:val="410B23FE"/>
    <w:rsid w:val="413377FE"/>
    <w:rsid w:val="41404F66"/>
    <w:rsid w:val="419D56AC"/>
    <w:rsid w:val="41B2178D"/>
    <w:rsid w:val="41E200FA"/>
    <w:rsid w:val="42014C57"/>
    <w:rsid w:val="420161A3"/>
    <w:rsid w:val="4203015A"/>
    <w:rsid w:val="424C2401"/>
    <w:rsid w:val="424C5CAA"/>
    <w:rsid w:val="42BC55B3"/>
    <w:rsid w:val="42EF574A"/>
    <w:rsid w:val="433A408D"/>
    <w:rsid w:val="4343436A"/>
    <w:rsid w:val="434D666C"/>
    <w:rsid w:val="435F0417"/>
    <w:rsid w:val="439671DC"/>
    <w:rsid w:val="439B6F77"/>
    <w:rsid w:val="43A627AA"/>
    <w:rsid w:val="43C974C9"/>
    <w:rsid w:val="43D32E13"/>
    <w:rsid w:val="43F97095"/>
    <w:rsid w:val="440D1834"/>
    <w:rsid w:val="443261F1"/>
    <w:rsid w:val="4439594B"/>
    <w:rsid w:val="44BB4435"/>
    <w:rsid w:val="44C0338D"/>
    <w:rsid w:val="44D84400"/>
    <w:rsid w:val="450D13D7"/>
    <w:rsid w:val="451C3523"/>
    <w:rsid w:val="457110FB"/>
    <w:rsid w:val="45750485"/>
    <w:rsid w:val="45834899"/>
    <w:rsid w:val="45E0746C"/>
    <w:rsid w:val="46174C38"/>
    <w:rsid w:val="464624EA"/>
    <w:rsid w:val="46462D05"/>
    <w:rsid w:val="467D3E9B"/>
    <w:rsid w:val="4687174A"/>
    <w:rsid w:val="46916FD5"/>
    <w:rsid w:val="469B00CC"/>
    <w:rsid w:val="46C67AE1"/>
    <w:rsid w:val="46E4575A"/>
    <w:rsid w:val="46EA6CCD"/>
    <w:rsid w:val="46F76FB5"/>
    <w:rsid w:val="4716106E"/>
    <w:rsid w:val="471A14B7"/>
    <w:rsid w:val="473C0E11"/>
    <w:rsid w:val="47AF4C30"/>
    <w:rsid w:val="48043633"/>
    <w:rsid w:val="482C65F0"/>
    <w:rsid w:val="48435110"/>
    <w:rsid w:val="484F16A2"/>
    <w:rsid w:val="485838D2"/>
    <w:rsid w:val="485C3DC6"/>
    <w:rsid w:val="48673137"/>
    <w:rsid w:val="48906A9A"/>
    <w:rsid w:val="48935EBC"/>
    <w:rsid w:val="48A81BC2"/>
    <w:rsid w:val="48EE1032"/>
    <w:rsid w:val="49096511"/>
    <w:rsid w:val="491B667E"/>
    <w:rsid w:val="49254683"/>
    <w:rsid w:val="496941FF"/>
    <w:rsid w:val="498A2725"/>
    <w:rsid w:val="49C1268F"/>
    <w:rsid w:val="49C35B92"/>
    <w:rsid w:val="49CF378C"/>
    <w:rsid w:val="49D221B6"/>
    <w:rsid w:val="4A11580F"/>
    <w:rsid w:val="4A272BCA"/>
    <w:rsid w:val="4A547680"/>
    <w:rsid w:val="4A5F1CAD"/>
    <w:rsid w:val="4A881BAE"/>
    <w:rsid w:val="4A9A7422"/>
    <w:rsid w:val="4AA81790"/>
    <w:rsid w:val="4AE03433"/>
    <w:rsid w:val="4AEA389E"/>
    <w:rsid w:val="4B1C04F2"/>
    <w:rsid w:val="4B30329B"/>
    <w:rsid w:val="4B3F7AB7"/>
    <w:rsid w:val="4B7374E7"/>
    <w:rsid w:val="4BAE7212"/>
    <w:rsid w:val="4BB153BE"/>
    <w:rsid w:val="4C0360C1"/>
    <w:rsid w:val="4C0A34CE"/>
    <w:rsid w:val="4C3B34FB"/>
    <w:rsid w:val="4C670088"/>
    <w:rsid w:val="4C89181E"/>
    <w:rsid w:val="4CAE1DDD"/>
    <w:rsid w:val="4CE1667F"/>
    <w:rsid w:val="4D19148D"/>
    <w:rsid w:val="4D673763"/>
    <w:rsid w:val="4D804390"/>
    <w:rsid w:val="4DA70DCE"/>
    <w:rsid w:val="4DC54E04"/>
    <w:rsid w:val="4DDE6AA6"/>
    <w:rsid w:val="4DED5753"/>
    <w:rsid w:val="4DFA20D3"/>
    <w:rsid w:val="4E046B0C"/>
    <w:rsid w:val="4E1B64C0"/>
    <w:rsid w:val="4E213EBD"/>
    <w:rsid w:val="4E323C52"/>
    <w:rsid w:val="4E4057F4"/>
    <w:rsid w:val="4E5F26B1"/>
    <w:rsid w:val="4E623D81"/>
    <w:rsid w:val="4E6F61BB"/>
    <w:rsid w:val="4EBD75BF"/>
    <w:rsid w:val="4ECB6FFF"/>
    <w:rsid w:val="4F0679B3"/>
    <w:rsid w:val="4F3A098C"/>
    <w:rsid w:val="4F4E536B"/>
    <w:rsid w:val="50101D8A"/>
    <w:rsid w:val="5023419B"/>
    <w:rsid w:val="504C0D48"/>
    <w:rsid w:val="50866222"/>
    <w:rsid w:val="50AF07A1"/>
    <w:rsid w:val="50B871D1"/>
    <w:rsid w:val="50C4668F"/>
    <w:rsid w:val="50C75416"/>
    <w:rsid w:val="513168E1"/>
    <w:rsid w:val="51527047"/>
    <w:rsid w:val="519F4486"/>
    <w:rsid w:val="51C3457F"/>
    <w:rsid w:val="51D058C8"/>
    <w:rsid w:val="520543CB"/>
    <w:rsid w:val="520D21A6"/>
    <w:rsid w:val="521B2D27"/>
    <w:rsid w:val="525B247C"/>
    <w:rsid w:val="528841B5"/>
    <w:rsid w:val="5302183A"/>
    <w:rsid w:val="53246C90"/>
    <w:rsid w:val="532643E0"/>
    <w:rsid w:val="532C5B84"/>
    <w:rsid w:val="53406A58"/>
    <w:rsid w:val="5386145E"/>
    <w:rsid w:val="539B1FD4"/>
    <w:rsid w:val="53DD3B9E"/>
    <w:rsid w:val="53EF2F12"/>
    <w:rsid w:val="54082F69"/>
    <w:rsid w:val="54367EA8"/>
    <w:rsid w:val="544D5C5C"/>
    <w:rsid w:val="54661C44"/>
    <w:rsid w:val="54751090"/>
    <w:rsid w:val="54972A63"/>
    <w:rsid w:val="54B30E83"/>
    <w:rsid w:val="54C85830"/>
    <w:rsid w:val="54F860F5"/>
    <w:rsid w:val="550C32B5"/>
    <w:rsid w:val="550C6C0C"/>
    <w:rsid w:val="5515754C"/>
    <w:rsid w:val="55A15289"/>
    <w:rsid w:val="55B055F7"/>
    <w:rsid w:val="55C05B3D"/>
    <w:rsid w:val="55DA04B1"/>
    <w:rsid w:val="55EB5A20"/>
    <w:rsid w:val="55EC54DD"/>
    <w:rsid w:val="561F5B57"/>
    <w:rsid w:val="56416949"/>
    <w:rsid w:val="567F5E15"/>
    <w:rsid w:val="56A725B8"/>
    <w:rsid w:val="56AF6254"/>
    <w:rsid w:val="56D53685"/>
    <w:rsid w:val="56E33775"/>
    <w:rsid w:val="570211E8"/>
    <w:rsid w:val="57585DC0"/>
    <w:rsid w:val="57701388"/>
    <w:rsid w:val="57A10251"/>
    <w:rsid w:val="584A2FE9"/>
    <w:rsid w:val="5864776B"/>
    <w:rsid w:val="586D7F92"/>
    <w:rsid w:val="58701BA4"/>
    <w:rsid w:val="58A66C99"/>
    <w:rsid w:val="58B413AD"/>
    <w:rsid w:val="58CA32E2"/>
    <w:rsid w:val="58F5279F"/>
    <w:rsid w:val="59113342"/>
    <w:rsid w:val="591C5381"/>
    <w:rsid w:val="592044A9"/>
    <w:rsid w:val="592225A0"/>
    <w:rsid w:val="594E3790"/>
    <w:rsid w:val="59604D2F"/>
    <w:rsid w:val="596D144A"/>
    <w:rsid w:val="599D0C7F"/>
    <w:rsid w:val="59A134A7"/>
    <w:rsid w:val="59A26A9D"/>
    <w:rsid w:val="59C15AC8"/>
    <w:rsid w:val="59CB390F"/>
    <w:rsid w:val="59D67516"/>
    <w:rsid w:val="59E97212"/>
    <w:rsid w:val="59ED7E16"/>
    <w:rsid w:val="59F70433"/>
    <w:rsid w:val="5A1B1681"/>
    <w:rsid w:val="5A2537F3"/>
    <w:rsid w:val="5A3372B7"/>
    <w:rsid w:val="5A3B3EDC"/>
    <w:rsid w:val="5A464F6F"/>
    <w:rsid w:val="5A5020B9"/>
    <w:rsid w:val="5A790900"/>
    <w:rsid w:val="5A971D60"/>
    <w:rsid w:val="5AA06336"/>
    <w:rsid w:val="5AD34C11"/>
    <w:rsid w:val="5ADB12C9"/>
    <w:rsid w:val="5B3B333C"/>
    <w:rsid w:val="5B8930BB"/>
    <w:rsid w:val="5BEF7558"/>
    <w:rsid w:val="5C0348B7"/>
    <w:rsid w:val="5C114298"/>
    <w:rsid w:val="5C212334"/>
    <w:rsid w:val="5C6B34A4"/>
    <w:rsid w:val="5C6E2434"/>
    <w:rsid w:val="5C790492"/>
    <w:rsid w:val="5CD033D2"/>
    <w:rsid w:val="5CD33532"/>
    <w:rsid w:val="5CE33F58"/>
    <w:rsid w:val="5CF47CD7"/>
    <w:rsid w:val="5D270B71"/>
    <w:rsid w:val="5D2C1AAF"/>
    <w:rsid w:val="5D743F5C"/>
    <w:rsid w:val="5D7673E3"/>
    <w:rsid w:val="5D79191E"/>
    <w:rsid w:val="5D900D23"/>
    <w:rsid w:val="5DBF0505"/>
    <w:rsid w:val="5DCE0DFC"/>
    <w:rsid w:val="5DD93AB7"/>
    <w:rsid w:val="5E0135A8"/>
    <w:rsid w:val="5E045D4D"/>
    <w:rsid w:val="5E076835"/>
    <w:rsid w:val="5E0C65C1"/>
    <w:rsid w:val="5E1F6577"/>
    <w:rsid w:val="5E2E7731"/>
    <w:rsid w:val="5E702EC6"/>
    <w:rsid w:val="5E872AA3"/>
    <w:rsid w:val="5EC10292"/>
    <w:rsid w:val="5ECC54B0"/>
    <w:rsid w:val="5ED50624"/>
    <w:rsid w:val="5EE66620"/>
    <w:rsid w:val="5EE85FC0"/>
    <w:rsid w:val="5F1721F2"/>
    <w:rsid w:val="5F3075AA"/>
    <w:rsid w:val="5F976163"/>
    <w:rsid w:val="5FD8114B"/>
    <w:rsid w:val="5FF79FFC"/>
    <w:rsid w:val="60161BED"/>
    <w:rsid w:val="605656C5"/>
    <w:rsid w:val="60572D1E"/>
    <w:rsid w:val="606F1793"/>
    <w:rsid w:val="607138C8"/>
    <w:rsid w:val="60770CB0"/>
    <w:rsid w:val="607C17F3"/>
    <w:rsid w:val="60994F75"/>
    <w:rsid w:val="609B470C"/>
    <w:rsid w:val="60AA1C2B"/>
    <w:rsid w:val="60AE5C79"/>
    <w:rsid w:val="60C70A54"/>
    <w:rsid w:val="61300B28"/>
    <w:rsid w:val="61550DBD"/>
    <w:rsid w:val="61924C4F"/>
    <w:rsid w:val="61BF2E29"/>
    <w:rsid w:val="61C379F2"/>
    <w:rsid w:val="61E12825"/>
    <w:rsid w:val="61E561D1"/>
    <w:rsid w:val="61F1723C"/>
    <w:rsid w:val="62077C40"/>
    <w:rsid w:val="621F0E4B"/>
    <w:rsid w:val="622529D5"/>
    <w:rsid w:val="624B0BD0"/>
    <w:rsid w:val="6270558C"/>
    <w:rsid w:val="62857AB0"/>
    <w:rsid w:val="62B81A3D"/>
    <w:rsid w:val="62D12008"/>
    <w:rsid w:val="62E66850"/>
    <w:rsid w:val="62EE098B"/>
    <w:rsid w:val="63141845"/>
    <w:rsid w:val="6358588A"/>
    <w:rsid w:val="637067B4"/>
    <w:rsid w:val="63717C44"/>
    <w:rsid w:val="63DE16B9"/>
    <w:rsid w:val="63EC2967"/>
    <w:rsid w:val="63F06D02"/>
    <w:rsid w:val="63F41DB1"/>
    <w:rsid w:val="64242A2E"/>
    <w:rsid w:val="64355C74"/>
    <w:rsid w:val="644120C3"/>
    <w:rsid w:val="6444200F"/>
    <w:rsid w:val="64852A79"/>
    <w:rsid w:val="6487269F"/>
    <w:rsid w:val="648B44AC"/>
    <w:rsid w:val="649F50E8"/>
    <w:rsid w:val="64D4311E"/>
    <w:rsid w:val="64E61819"/>
    <w:rsid w:val="65193124"/>
    <w:rsid w:val="65307988"/>
    <w:rsid w:val="655A1267"/>
    <w:rsid w:val="655E7D4A"/>
    <w:rsid w:val="656D1FDE"/>
    <w:rsid w:val="65A2479E"/>
    <w:rsid w:val="65E35C92"/>
    <w:rsid w:val="65E42985"/>
    <w:rsid w:val="66055176"/>
    <w:rsid w:val="660D70F4"/>
    <w:rsid w:val="662759DD"/>
    <w:rsid w:val="66296774"/>
    <w:rsid w:val="663F237F"/>
    <w:rsid w:val="66441755"/>
    <w:rsid w:val="665879FD"/>
    <w:rsid w:val="665D65E6"/>
    <w:rsid w:val="667158C0"/>
    <w:rsid w:val="66940E55"/>
    <w:rsid w:val="66ED1A86"/>
    <w:rsid w:val="67076C13"/>
    <w:rsid w:val="67290ACE"/>
    <w:rsid w:val="672D4DC7"/>
    <w:rsid w:val="674221B8"/>
    <w:rsid w:val="67427D33"/>
    <w:rsid w:val="674F2F0C"/>
    <w:rsid w:val="67507659"/>
    <w:rsid w:val="67510B0A"/>
    <w:rsid w:val="67537EF9"/>
    <w:rsid w:val="67731D96"/>
    <w:rsid w:val="67C47F09"/>
    <w:rsid w:val="67F6499F"/>
    <w:rsid w:val="68020CBB"/>
    <w:rsid w:val="680C6B42"/>
    <w:rsid w:val="68A9749E"/>
    <w:rsid w:val="68BA59E1"/>
    <w:rsid w:val="68CA01FA"/>
    <w:rsid w:val="68D91796"/>
    <w:rsid w:val="68E32614"/>
    <w:rsid w:val="694B09E8"/>
    <w:rsid w:val="699F2765"/>
    <w:rsid w:val="69A23731"/>
    <w:rsid w:val="69F51EE6"/>
    <w:rsid w:val="6A0333FA"/>
    <w:rsid w:val="6A0C4CAB"/>
    <w:rsid w:val="6A0F2A90"/>
    <w:rsid w:val="6A144E55"/>
    <w:rsid w:val="6A1F4589"/>
    <w:rsid w:val="6A3A3EF3"/>
    <w:rsid w:val="6A3A3FF6"/>
    <w:rsid w:val="6A4D4AF3"/>
    <w:rsid w:val="6A5D1A6E"/>
    <w:rsid w:val="6A752434"/>
    <w:rsid w:val="6A8D58E6"/>
    <w:rsid w:val="6AA221E0"/>
    <w:rsid w:val="6AC375D3"/>
    <w:rsid w:val="6ACC2E43"/>
    <w:rsid w:val="6ADB7BE0"/>
    <w:rsid w:val="6AF9061E"/>
    <w:rsid w:val="6B087CCF"/>
    <w:rsid w:val="6B0E2668"/>
    <w:rsid w:val="6B1A4247"/>
    <w:rsid w:val="6B2667EA"/>
    <w:rsid w:val="6B726E54"/>
    <w:rsid w:val="6C1E680D"/>
    <w:rsid w:val="6C5870A5"/>
    <w:rsid w:val="6CA05347"/>
    <w:rsid w:val="6CDC3EA7"/>
    <w:rsid w:val="6D0B19EF"/>
    <w:rsid w:val="6D2073D4"/>
    <w:rsid w:val="6D3D73C4"/>
    <w:rsid w:val="6D56640D"/>
    <w:rsid w:val="6D983EF9"/>
    <w:rsid w:val="6DA66DF3"/>
    <w:rsid w:val="6DBB03FB"/>
    <w:rsid w:val="6DD77234"/>
    <w:rsid w:val="6DE3089F"/>
    <w:rsid w:val="6DE446DA"/>
    <w:rsid w:val="6E0C4B69"/>
    <w:rsid w:val="6E31797E"/>
    <w:rsid w:val="6E866461"/>
    <w:rsid w:val="6E8F2A2E"/>
    <w:rsid w:val="6EA27F90"/>
    <w:rsid w:val="6EC175DC"/>
    <w:rsid w:val="6F493E01"/>
    <w:rsid w:val="6F537761"/>
    <w:rsid w:val="704973C7"/>
    <w:rsid w:val="707704C4"/>
    <w:rsid w:val="70793B76"/>
    <w:rsid w:val="70806C57"/>
    <w:rsid w:val="709507A9"/>
    <w:rsid w:val="70A830D9"/>
    <w:rsid w:val="70CE7620"/>
    <w:rsid w:val="70D77780"/>
    <w:rsid w:val="70FD48EC"/>
    <w:rsid w:val="7119270D"/>
    <w:rsid w:val="713B2B84"/>
    <w:rsid w:val="713C2DE8"/>
    <w:rsid w:val="716342F2"/>
    <w:rsid w:val="718A79D3"/>
    <w:rsid w:val="719902D9"/>
    <w:rsid w:val="719F40F5"/>
    <w:rsid w:val="719F53DF"/>
    <w:rsid w:val="71A46782"/>
    <w:rsid w:val="71F83A80"/>
    <w:rsid w:val="71FF4C5E"/>
    <w:rsid w:val="726063D0"/>
    <w:rsid w:val="72886715"/>
    <w:rsid w:val="72966427"/>
    <w:rsid w:val="73100AD4"/>
    <w:rsid w:val="73373A24"/>
    <w:rsid w:val="733C4E1B"/>
    <w:rsid w:val="73587D13"/>
    <w:rsid w:val="737E7EC4"/>
    <w:rsid w:val="739C3F3B"/>
    <w:rsid w:val="73CD470A"/>
    <w:rsid w:val="73F76ABD"/>
    <w:rsid w:val="74003C5F"/>
    <w:rsid w:val="74092D7E"/>
    <w:rsid w:val="740C62BE"/>
    <w:rsid w:val="7420471D"/>
    <w:rsid w:val="742D0DB2"/>
    <w:rsid w:val="74442E46"/>
    <w:rsid w:val="74547E66"/>
    <w:rsid w:val="74742CC1"/>
    <w:rsid w:val="74CF1F2D"/>
    <w:rsid w:val="74DD23E1"/>
    <w:rsid w:val="75012413"/>
    <w:rsid w:val="75237915"/>
    <w:rsid w:val="7530451A"/>
    <w:rsid w:val="757B33C4"/>
    <w:rsid w:val="759F2407"/>
    <w:rsid w:val="75F31DC5"/>
    <w:rsid w:val="76005BAB"/>
    <w:rsid w:val="76071518"/>
    <w:rsid w:val="7632278A"/>
    <w:rsid w:val="766530C9"/>
    <w:rsid w:val="76F47E67"/>
    <w:rsid w:val="77214AAC"/>
    <w:rsid w:val="77785510"/>
    <w:rsid w:val="77804D7C"/>
    <w:rsid w:val="77881029"/>
    <w:rsid w:val="77B9466C"/>
    <w:rsid w:val="7807775C"/>
    <w:rsid w:val="783223C0"/>
    <w:rsid w:val="78547CED"/>
    <w:rsid w:val="786476B4"/>
    <w:rsid w:val="786B5E5E"/>
    <w:rsid w:val="786B7F9B"/>
    <w:rsid w:val="78A81248"/>
    <w:rsid w:val="78AB3196"/>
    <w:rsid w:val="78AF6B87"/>
    <w:rsid w:val="79297A7E"/>
    <w:rsid w:val="799B4BB9"/>
    <w:rsid w:val="7A0A5C53"/>
    <w:rsid w:val="7A1003F8"/>
    <w:rsid w:val="7A2512E3"/>
    <w:rsid w:val="7A9D6FB6"/>
    <w:rsid w:val="7B2204D9"/>
    <w:rsid w:val="7B386E77"/>
    <w:rsid w:val="7B3B249E"/>
    <w:rsid w:val="7B690C89"/>
    <w:rsid w:val="7B9704D3"/>
    <w:rsid w:val="7BCA2D3D"/>
    <w:rsid w:val="7C050B07"/>
    <w:rsid w:val="7C0671F7"/>
    <w:rsid w:val="7C173278"/>
    <w:rsid w:val="7C3E1F66"/>
    <w:rsid w:val="7C3E749B"/>
    <w:rsid w:val="7C41115F"/>
    <w:rsid w:val="7C546C87"/>
    <w:rsid w:val="7C883EA5"/>
    <w:rsid w:val="7C950414"/>
    <w:rsid w:val="7C9E2BCB"/>
    <w:rsid w:val="7CA358D4"/>
    <w:rsid w:val="7CB11734"/>
    <w:rsid w:val="7CBE774A"/>
    <w:rsid w:val="7CBF4160"/>
    <w:rsid w:val="7CC24247"/>
    <w:rsid w:val="7CF23292"/>
    <w:rsid w:val="7CF8612C"/>
    <w:rsid w:val="7CFA449E"/>
    <w:rsid w:val="7D0E5DDC"/>
    <w:rsid w:val="7D304D71"/>
    <w:rsid w:val="7D4F061F"/>
    <w:rsid w:val="7DA9530D"/>
    <w:rsid w:val="7E065CCE"/>
    <w:rsid w:val="7E1457B8"/>
    <w:rsid w:val="7E233080"/>
    <w:rsid w:val="7E2A2A0B"/>
    <w:rsid w:val="7E916D01"/>
    <w:rsid w:val="7E93240B"/>
    <w:rsid w:val="7EC425E9"/>
    <w:rsid w:val="7ECF5717"/>
    <w:rsid w:val="7EEC4186"/>
    <w:rsid w:val="7F097E7A"/>
    <w:rsid w:val="7F1A2313"/>
    <w:rsid w:val="7F5D4081"/>
    <w:rsid w:val="7F5D6779"/>
    <w:rsid w:val="7F8E00D4"/>
    <w:rsid w:val="7FB910E2"/>
    <w:rsid w:val="7FC80734"/>
    <w:rsid w:val="7FE164FA"/>
    <w:rsid w:val="7FE71E6C"/>
    <w:rsid w:val="7FEA777D"/>
    <w:rsid w:val="7FFB2C86"/>
    <w:rsid w:val="CB5F31A7"/>
    <w:rsid w:val="D76601C3"/>
    <w:rsid w:val="E37B1AC3"/>
    <w:rsid w:val="F5FF2AD8"/>
    <w:rsid w:val="FDB7BCE4"/>
    <w:rsid w:val="FF3D9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Body Text"/>
    <w:basedOn w:val="1"/>
    <w:qFormat/>
    <w:uiPriority w:val="0"/>
    <w:pPr>
      <w:jc w:val="center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_Style 1"/>
    <w:basedOn w:val="1"/>
    <w:qFormat/>
    <w:uiPriority w:val="0"/>
    <w:pPr>
      <w:tabs>
        <w:tab w:val="left" w:pos="850"/>
      </w:tabs>
      <w:spacing w:beforeLines="100" w:afterLines="100"/>
      <w:ind w:left="431" w:hanging="431"/>
    </w:pPr>
  </w:style>
  <w:style w:type="paragraph" w:customStyle="1" w:styleId="13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19</Pages>
  <Words>6098</Words>
  <Characters>6332</Characters>
  <Lines>8</Lines>
  <Paragraphs>14</Paragraphs>
  <TotalTime>13</TotalTime>
  <ScaleCrop>false</ScaleCrop>
  <LinksUpToDate>false</LinksUpToDate>
  <CharactersWithSpaces>6385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2023-06-12T18:43:00Z</dcterms:created>
  <dc:creator>Administrator</dc:creator>
  <cp:lastModifiedBy>user</cp:lastModifiedBy>
  <cp:lastPrinted>2025-09-23T07:12:00Z</cp:lastPrinted>
  <dcterms:modified xsi:type="dcterms:W3CDTF">2025-09-23T07:38:07Z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A053EF370B3E4C49A269A2364E9E4AD3</vt:lpwstr>
  </property>
  <property fmtid="{D5CDD505-2E9C-101B-9397-08002B2CF9AE}" pid="4" name="KSOTemplateDocerSaveRecord">
    <vt:lpwstr>eyJoZGlkIjoiMTczMWFhNTViODE1NTA1NTAyNzBlYzQxNTk3NjBmMjAiLCJ1c2VySWQiOiI2MjQwNjk2MDIifQ==</vt:lpwstr>
  </property>
</Properties>
</file>