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6"/>
        <w:gridCol w:w="3793"/>
      </w:tblGrid>
      <w:tr w14:paraId="2B48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0E80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1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</w:tc>
      </w:tr>
      <w:tr w14:paraId="06DC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6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</w:tc>
      </w:tr>
      <w:tr w14:paraId="4FCA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C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1名</w:t>
            </w:r>
          </w:p>
        </w:tc>
      </w:tr>
    </w:tbl>
    <w:p w14:paraId="62533C21">
      <w:pPr>
        <w:rPr>
          <w:rFonts w:hint="eastAsia"/>
        </w:rPr>
      </w:pPr>
    </w:p>
    <w:p w14:paraId="256187C5">
      <w:r>
        <w:rPr>
          <w:rFonts w:hint="eastAsia"/>
        </w:rPr>
        <w:t>注：实际招聘岗位以最后静安门户网公布为准!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1D97"/>
    <w:rsid w:val="3CD2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2025-09-19T01:21:00Z</dcterms:created>
  <dc:creator>可乐</dc:creator>
  <cp:lastModifiedBy>可乐</cp:lastModifiedBy>
  <dcterms:modified xsi:type="dcterms:W3CDTF">2025-09-19T01:22:02Z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27E38EE151B44A5B8F8B07C7FA235BAA_11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