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BD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default" w:ascii="Times New Roman" w:hAnsi="Times New Roman" w:cs="Times New Roman"/>
          <w:i w:val="0"/>
          <w:iCs w:val="0"/>
          <w:caps w:val="0"/>
          <w:spacing w:val="0"/>
          <w:sz w:val="21"/>
          <w:szCs w:val="21"/>
        </w:rPr>
      </w:pPr>
      <w:r>
        <w:rPr>
          <w:rFonts w:ascii="黑体" w:hAnsi="宋体" w:eastAsia="黑体" w:cs="黑体"/>
          <w:i w:val="0"/>
          <w:iCs w:val="0"/>
          <w:caps w:val="0"/>
          <w:spacing w:val="0"/>
          <w:sz w:val="31"/>
          <w:szCs w:val="31"/>
          <w:bdr w:val="none" w:color="auto" w:sz="0" w:space="0"/>
          <w:shd w:val="clear" w:fill="FFFFFF"/>
        </w:rPr>
        <w:t>附件</w:t>
      </w:r>
    </w:p>
    <w:p w14:paraId="0D0B5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spacing w:val="0"/>
          <w:sz w:val="21"/>
          <w:szCs w:val="21"/>
        </w:rPr>
      </w:pPr>
      <w:r>
        <w:rPr>
          <w:rFonts w:ascii="方正小标宋简体" w:hAnsi="方正小标宋简体" w:eastAsia="方正小标宋简体" w:cs="方正小标宋简体"/>
          <w:i w:val="0"/>
          <w:iCs w:val="0"/>
          <w:caps w:val="0"/>
          <w:spacing w:val="0"/>
          <w:sz w:val="43"/>
          <w:szCs w:val="43"/>
          <w:bdr w:val="none" w:color="auto" w:sz="0" w:space="0"/>
          <w:shd w:val="clear" w:fill="FFFFFF"/>
        </w:rPr>
        <w:t> </w:t>
      </w:r>
    </w:p>
    <w:p w14:paraId="68F092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spacing w:val="0"/>
          <w:sz w:val="21"/>
          <w:szCs w:val="21"/>
        </w:rPr>
      </w:pPr>
      <w:r>
        <w:rPr>
          <w:rFonts w:hint="default" w:ascii="方正小标宋简体" w:hAnsi="方正小标宋简体" w:eastAsia="方正小标宋简体" w:cs="方正小标宋简体"/>
          <w:i w:val="0"/>
          <w:iCs w:val="0"/>
          <w:caps w:val="0"/>
          <w:spacing w:val="0"/>
          <w:sz w:val="43"/>
          <w:szCs w:val="43"/>
          <w:bdr w:val="none" w:color="auto" w:sz="0" w:space="0"/>
          <w:shd w:val="clear" w:fill="FFFFFF"/>
        </w:rPr>
        <w:t>毕节市2025年特岗教师招聘岗位</w:t>
      </w:r>
    </w:p>
    <w:p w14:paraId="6BEF5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spacing w:val="0"/>
          <w:sz w:val="21"/>
          <w:szCs w:val="21"/>
        </w:rPr>
      </w:pPr>
      <w:r>
        <w:rPr>
          <w:rFonts w:hint="default" w:ascii="方正小标宋简体" w:hAnsi="方正小标宋简体" w:eastAsia="方正小标宋简体" w:cs="方正小标宋简体"/>
          <w:i w:val="0"/>
          <w:iCs w:val="0"/>
          <w:caps w:val="0"/>
          <w:spacing w:val="0"/>
          <w:sz w:val="43"/>
          <w:szCs w:val="43"/>
          <w:bdr w:val="none" w:color="auto" w:sz="0" w:space="0"/>
          <w:shd w:val="clear" w:fill="FFFFFF"/>
        </w:rPr>
        <w:t>学历专业要求</w:t>
      </w:r>
    </w:p>
    <w:p w14:paraId="1E3BA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3195"/>
        <w:jc w:val="both"/>
        <w:rPr>
          <w:rFonts w:hint="default" w:ascii="Times New Roman" w:hAnsi="Times New Roman" w:cs="Times New Roman"/>
          <w:i w:val="0"/>
          <w:iCs w:val="0"/>
          <w:caps w:val="0"/>
          <w:spacing w:val="0"/>
          <w:sz w:val="21"/>
          <w:szCs w:val="21"/>
        </w:rPr>
      </w:pPr>
      <w:r>
        <w:rPr>
          <w:rFonts w:ascii="仿宋_GB2312" w:hAnsi="Times New Roman" w:eastAsia="仿宋_GB2312" w:cs="仿宋_GB2312"/>
          <w:i w:val="0"/>
          <w:iCs w:val="0"/>
          <w:caps w:val="0"/>
          <w:spacing w:val="0"/>
          <w:sz w:val="31"/>
          <w:szCs w:val="31"/>
          <w:bdr w:val="none" w:color="auto" w:sz="0" w:space="0"/>
          <w:shd w:val="clear" w:fill="FFFFFF"/>
        </w:rPr>
        <w:t> </w:t>
      </w:r>
    </w:p>
    <w:p w14:paraId="779283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4"/>
          <w:szCs w:val="24"/>
        </w:rPr>
      </w:pPr>
      <w:r>
        <w:rPr>
          <w:rFonts w:hint="default" w:ascii="仿宋_GB2312" w:hAnsi="Times New Roman" w:eastAsia="仿宋_GB2312" w:cs="仿宋_GB2312"/>
          <w:i w:val="0"/>
          <w:iCs w:val="0"/>
          <w:caps w:val="0"/>
          <w:spacing w:val="0"/>
          <w:sz w:val="31"/>
          <w:szCs w:val="31"/>
          <w:bdr w:val="none" w:color="auto" w:sz="0" w:space="0"/>
          <w:shd w:val="clear" w:fill="FFFFFF"/>
        </w:rPr>
        <w:t>根据《贵州省2025年“特岗计划”实施方案》学历条件、教师资格条件要求，参照《普通高等学校本科专业目录新旧专业对照表》2012版、《普通高等学校本科专业目录》（2025年、2024年、2022年、2020年）《自学考试本科和专科参考专业目录》（贵州2015版），结合毕节市历年特岗招聘认定专业，经市教育局、各县（市、区）教育科技局（教育局）商定，2025年特岗教师招聘学历专业要求如下：</w:t>
      </w:r>
    </w:p>
    <w:p w14:paraId="72343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一、道德与法治(思想政治)（取得报考学段及以上思想政治、思想品德教师资格）</w:t>
      </w:r>
    </w:p>
    <w:p w14:paraId="6615A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6E01E5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马克思主义理论类（科学社会主义，中国共产党历史，思想政治教育，马克思主义理论，工会学）；政治学类（政治学与行政学，国际政治，外交学，国际事务与国际关系，政治学、经济学与哲学，国际组织与全球治理）；小学教育（取得思想政治，道德与法治教师资格或全科教师资格，限报小学道德与法治），基础教育，初等教育（限报小学），义务教育，政治教育。</w:t>
      </w:r>
    </w:p>
    <w:p w14:paraId="4ED65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二、语文（取得报考学段及以上语文教师资格）</w:t>
      </w:r>
    </w:p>
    <w:p w14:paraId="60E60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2F54A0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中国语言文学类（汉语言文学，汉语言，汉语国际教育，中国少数民族语言文学，古典文献学，应用语言学，秘书学，文秘教育，中国语言与文化，手语翻译，数字人文，中国古典学，汉学与中国学，应用中文）；小学教育（取得语文教师资格证或全科教师资格证，限报小学语文）；华文教育，人文教育，教育学，基础教育，初等教育（限报小学），义务教育，汉语言文学教育，对外汉语，汉语言翻译，师范类汉语言文学，中文国际教育。</w:t>
      </w:r>
    </w:p>
    <w:p w14:paraId="7D398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三、数学（取得报考学段及以上数学教师资格）</w:t>
      </w:r>
    </w:p>
    <w:p w14:paraId="7AE87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21110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数学类（数学与应用数学，信息与计算科学，数理基础科学，数据计算及应用）；小学教育（取得数学教师资格或全科教师资格，限报小学数学），教育学，数学，基础教育，初等教育（限报小学），义务教育，数学教育。</w:t>
      </w:r>
    </w:p>
    <w:p w14:paraId="1E31C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四、英语（取得报考学段及以上英语教师资格）</w:t>
      </w:r>
    </w:p>
    <w:p w14:paraId="096E9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1B740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外国语言文学类（英语），英语，商务英语，小学教育（取得英语教师资格或全科教师资格，限报小学英语），生物医学英语，英语翻译，翻译</w:t>
      </w:r>
      <w:r>
        <w:rPr>
          <w:rFonts w:hint="default" w:ascii="仿宋_GB2312" w:hAnsi="Times New Roman" w:eastAsia="仿宋_GB2312" w:cs="仿宋_GB2312"/>
          <w:i w:val="0"/>
          <w:iCs w:val="0"/>
          <w:caps w:val="0"/>
          <w:spacing w:val="0"/>
          <w:sz w:val="30"/>
          <w:szCs w:val="30"/>
          <w:bdr w:val="none" w:color="auto" w:sz="0" w:space="0"/>
          <w:shd w:val="clear" w:fill="FFFFFF"/>
        </w:rPr>
        <w:t>（主修英语），</w:t>
      </w:r>
      <w:r>
        <w:rPr>
          <w:rFonts w:hint="default" w:ascii="仿宋_GB2312" w:hAnsi="Times New Roman" w:eastAsia="仿宋_GB2312" w:cs="仿宋_GB2312"/>
          <w:i w:val="0"/>
          <w:iCs w:val="0"/>
          <w:caps w:val="0"/>
          <w:spacing w:val="0"/>
          <w:sz w:val="31"/>
          <w:szCs w:val="31"/>
          <w:bdr w:val="none" w:color="auto" w:sz="0" w:space="0"/>
          <w:shd w:val="clear" w:fill="FFFFFF"/>
        </w:rPr>
        <w:t>英语教育，经贸英语，外贸英语，旅游英语，应用英语。</w:t>
      </w:r>
    </w:p>
    <w:p w14:paraId="55344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五、物理（取得报考学段及以上物理教师资格）</w:t>
      </w:r>
    </w:p>
    <w:p w14:paraId="22273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62195D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物理学类（物理学，应用物理学，核物理，声学，系统科学与工程，量子信息科学）；地球物理学类（地球物理学，空间科学与技术，防灾减灾科学与工程，行星科学）；物理教育。</w:t>
      </w:r>
    </w:p>
    <w:p w14:paraId="19CF8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六、化学（取得报考学段及以上化学教师资格）</w:t>
      </w:r>
    </w:p>
    <w:p w14:paraId="2A4D3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7436D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化学类（化学，应用化学，化学生物学，分子科学与工程，能源化学，化学测量学与技术，资源化学）；化工与制药类（化学工程与工艺，制药工程，资源循环科学与工程，能源化学工程，化学工程与工业生物工程，化工安全工程，涂料工程，精细化工，智能分子工程）；化学教育。</w:t>
      </w:r>
    </w:p>
    <w:p w14:paraId="4E299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七、生物学（取得报考学段及以上生物教师资格）</w:t>
      </w:r>
    </w:p>
    <w:p w14:paraId="03391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06C91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生物科学类（生物科学，生物技术，生物信息学，生态学，整合科学，神经科学）；生物医学工程类（生物医学工程，假肢矫形工程，临床工程技术，康复工程，健康科学与技术，医疗器械工程）；生物工程类（生物工程，生物制药，合成生物学，生物系统工程，轻工生物技术）；植物生产类（应用生物科学，生物育种科学，生物育种技术，生物农药科学与工程）；生物科学类（生物科学，生物技术，生物信息学，生态学，生物化学与分子生物学，生物资源科学，生物安全，生物科学与生物技术）；生物信息学（生物信息学，生物信息学，医学信息学）；生物教育，古生物学；生物医学，生物医学科学。</w:t>
      </w:r>
    </w:p>
    <w:p w14:paraId="58C090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八、历史（取得报考学段及以上历史教师资格）</w:t>
      </w:r>
    </w:p>
    <w:p w14:paraId="04F8E1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1F3B2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历史学类（历史学，世界史，考古学，文物与博物馆学，文物保护技术，外国语言与外国历史，文化遗产，古文字学，科学史）；人文教育，历史教育，历史课程与教学论。</w:t>
      </w:r>
    </w:p>
    <w:p w14:paraId="01162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九、地理（取得报考学段及以上地理教师资格）</w:t>
      </w:r>
    </w:p>
    <w:p w14:paraId="2DBC4C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13252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地理科学类（地理科学，自然地理与资源环境，资源环境与城乡规划管理，人文地理与城乡规划，地理信息科学，地理信息系统）；人文教育，地球物理学，地理教育。</w:t>
      </w:r>
    </w:p>
    <w:p w14:paraId="22C87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十、音乐（取得报考学段及以上音乐教师资格）</w:t>
      </w:r>
    </w:p>
    <w:p w14:paraId="6AD96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61122E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音乐与舞蹈学类（音乐表演，音乐学，作曲与作曲技术理论，舞蹈表演，舞蹈学，舞蹈编导，舞蹈教育，航空服务艺术与管理，流行音乐，音乐治疗，流行舞蹈，音乐教育，冰雪舞蹈表演，舞蹈治疗，音乐科技）；艺术教育，小学教育（取得音乐教师资格或全科教师资格，限报小学音乐），基础教育</w:t>
      </w:r>
      <w:r>
        <w:rPr>
          <w:rStyle w:val="5"/>
          <w:rFonts w:hint="default" w:ascii="仿宋_GB2312" w:hAnsi="Times New Roman" w:eastAsia="仿宋_GB2312" w:cs="仿宋_GB2312"/>
          <w:i w:val="0"/>
          <w:iCs w:val="0"/>
          <w:caps w:val="0"/>
          <w:spacing w:val="0"/>
          <w:sz w:val="31"/>
          <w:szCs w:val="31"/>
          <w:bdr w:val="none" w:color="auto" w:sz="0" w:space="0"/>
          <w:shd w:val="clear" w:fill="FFFFFF"/>
        </w:rPr>
        <w:t>，</w:t>
      </w:r>
      <w:r>
        <w:rPr>
          <w:rFonts w:hint="default" w:ascii="仿宋_GB2312" w:hAnsi="Times New Roman" w:eastAsia="仿宋_GB2312" w:cs="仿宋_GB2312"/>
          <w:i w:val="0"/>
          <w:iCs w:val="0"/>
          <w:caps w:val="0"/>
          <w:spacing w:val="0"/>
          <w:sz w:val="31"/>
          <w:szCs w:val="31"/>
          <w:bdr w:val="none" w:color="auto" w:sz="0" w:space="0"/>
          <w:shd w:val="clear" w:fill="FFFFFF"/>
        </w:rPr>
        <w:t>音乐教育，舞蹈表演与编导，戏曲表演，舞台艺术设计，戏剧与影视学类（戏剧教育，曲艺，音乐剧）。</w:t>
      </w:r>
    </w:p>
    <w:p w14:paraId="377BD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十一、体育与健康（取得报考学段及以上体育与健康、体育教师资格）</w:t>
      </w:r>
    </w:p>
    <w:p w14:paraId="52DB08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1B8B0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体育学类（体育教育，运动训练，社会体育指导与管理，武术与民族传统体育，运动人体科学，运动康复，休闲体育，体能训练，冰雪运动，电子竞技运动与管理，智能体育工程，体育旅游，运动能力开发，足球运动，马术运动与管理，体育康养，航空运动）；小学教育（取得体育教师资格或全科教师资格，限报小学体育），社会体育，民族传统体育，运动康复与健康，教育康复学，劳动教育，基础教育</w:t>
      </w:r>
      <w:r>
        <w:rPr>
          <w:rStyle w:val="5"/>
          <w:rFonts w:hint="default" w:ascii="仿宋_GB2312" w:hAnsi="Times New Roman" w:eastAsia="仿宋_GB2312" w:cs="仿宋_GB2312"/>
          <w:i w:val="0"/>
          <w:iCs w:val="0"/>
          <w:caps w:val="0"/>
          <w:spacing w:val="0"/>
          <w:sz w:val="31"/>
          <w:szCs w:val="31"/>
          <w:bdr w:val="none" w:color="auto" w:sz="0" w:space="0"/>
          <w:shd w:val="clear" w:fill="FFFFFF"/>
        </w:rPr>
        <w:t>，</w:t>
      </w:r>
      <w:r>
        <w:rPr>
          <w:rFonts w:hint="default" w:ascii="仿宋_GB2312" w:hAnsi="Times New Roman" w:eastAsia="仿宋_GB2312" w:cs="仿宋_GB2312"/>
          <w:i w:val="0"/>
          <w:iCs w:val="0"/>
          <w:caps w:val="0"/>
          <w:spacing w:val="0"/>
          <w:sz w:val="31"/>
          <w:szCs w:val="31"/>
          <w:bdr w:val="none" w:color="auto" w:sz="0" w:space="0"/>
          <w:shd w:val="clear" w:fill="FFFFFF"/>
        </w:rPr>
        <w:t>初等教育（限报小学），义务教育，体育与健康教育。</w:t>
      </w:r>
    </w:p>
    <w:p w14:paraId="23AC3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十二、美术（取得报考学段及以上美术教师资格）</w:t>
      </w:r>
    </w:p>
    <w:p w14:paraId="7C9B3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53318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美术学类（美术学，绘画，雕塑，摄影，书法学，中国画，实验艺术，跨媒体艺术，文物保护与修复，漫画，纤维艺术，科技艺术，美术教育，虚拟空间艺术）；设计学类（艺术设计学，视觉传达设计，环境设计，产品设计，服装与服饰设计，公共艺术，工艺美术，数字媒体艺术，艺术与科技，陶瓷艺术设计，新媒体艺术，包装设计，珠宝首饰设计与工艺，人居设计，游戏艺术设计）；艺术教育，小学教育（取得美术教师资格或全科教师资格，限报小学美术），电脑美术教育，服装艺术设计，室内设计，美术，艺术设计，动画设计，服装设计与工程，动漫设计，游戏艺术设计，环境艺术设计，中国书法，公共艺术设计，游戏创意设计，展示艺术设计，数字影像设计，戏剧与影视学类（戏剧影视美术设计，动画）。</w:t>
      </w:r>
    </w:p>
    <w:p w14:paraId="4C3CF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十三、信息科技（取得报考学段及以上信息技术类教师资格）</w:t>
      </w:r>
    </w:p>
    <w:p w14:paraId="1BCD2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1220C9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密码科学与技术，工业软件）；教育技术学，小学教育（取得信息技术教师资格或全科教师资格，限报小学信息技术），仿真科学与技术，计算机软件，科技防卫，传感网技术，影视艺术技术教育技术，计算机及应用，计算机网络，信息技术教育，计算机教育，计算机软件及应用，计算机应用，计算机科学教育，动画，计算机器件及设备，信息安全与网络管理，移动商务技术，嵌入式技术，网络管理，计算机应用软件，计算机应用工程，网络工程技术，软件工程技术</w:t>
      </w:r>
      <w:r>
        <w:rPr>
          <w:rStyle w:val="5"/>
          <w:rFonts w:hint="default" w:ascii="仿宋_GB2312" w:hAnsi="Times New Roman" w:eastAsia="仿宋_GB2312" w:cs="仿宋_GB2312"/>
          <w:i w:val="0"/>
          <w:iCs w:val="0"/>
          <w:caps w:val="0"/>
          <w:spacing w:val="0"/>
          <w:sz w:val="31"/>
          <w:szCs w:val="31"/>
          <w:bdr w:val="none" w:color="auto" w:sz="0" w:space="0"/>
          <w:shd w:val="clear" w:fill="FFFFFF"/>
        </w:rPr>
        <w:t>，</w:t>
      </w:r>
      <w:r>
        <w:rPr>
          <w:rFonts w:hint="default" w:ascii="仿宋_GB2312" w:hAnsi="Times New Roman" w:eastAsia="仿宋_GB2312" w:cs="仿宋_GB2312"/>
          <w:i w:val="0"/>
          <w:iCs w:val="0"/>
          <w:caps w:val="0"/>
          <w:spacing w:val="0"/>
          <w:sz w:val="31"/>
          <w:szCs w:val="31"/>
          <w:bdr w:val="none" w:color="auto" w:sz="0" w:space="0"/>
          <w:shd w:val="clear" w:fill="FFFFFF"/>
        </w:rPr>
        <w:t>大数据工程技术，云计算技术，信息安全与管理，人工智能工程技术，工业互联网技术，区块链技术，电子信息类(电子信息工程，电子科学与技术，通信工程，信息工程，电子信息科学与技术，电信工程及管理，应用电子技术教育，人工智能）。</w:t>
      </w:r>
    </w:p>
    <w:p w14:paraId="57E75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十四、科学</w:t>
      </w:r>
    </w:p>
    <w:p w14:paraId="3092B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不限所学专业（取得小学或初中科学教师资格；高中通用技术或综合实践活动教师资格；初中或高中物理，化学，生物教师资格）</w:t>
      </w:r>
    </w:p>
    <w:p w14:paraId="3B2EAA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本科专业(取得小学或初中科学教师资格；高中通用技术或综合实践活动教师资格；初中或高中化学、物理、生物教师资格）：</w:t>
      </w:r>
      <w:r>
        <w:rPr>
          <w:rFonts w:hint="default" w:ascii="仿宋_GB2312" w:hAnsi="Times New Roman" w:eastAsia="仿宋_GB2312" w:cs="仿宋_GB2312"/>
          <w:i w:val="0"/>
          <w:iCs w:val="0"/>
          <w:caps w:val="0"/>
          <w:spacing w:val="0"/>
          <w:sz w:val="31"/>
          <w:szCs w:val="31"/>
          <w:bdr w:val="none" w:color="auto" w:sz="0" w:space="0"/>
          <w:shd w:val="clear" w:fill="FFFFFF"/>
        </w:rPr>
        <w:t>满足上述物理、化学、生物专业均可报考。科学教育，认知科学与技术，小学教育（取得科学教师资格或全科教师资格，限报小学科学），生物教育，生物工程，生物技术和生物科学，应用科技教育。</w:t>
      </w:r>
    </w:p>
    <w:p w14:paraId="5E578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十五、心理健康（取得报考学段及以上心理健康教育、心理健康教师资格）</w:t>
      </w:r>
    </w:p>
    <w:p w14:paraId="63C20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硕士研究生：</w:t>
      </w:r>
      <w:r>
        <w:rPr>
          <w:rFonts w:hint="default" w:ascii="仿宋_GB2312" w:hAnsi="Times New Roman" w:eastAsia="仿宋_GB2312" w:cs="仿宋_GB2312"/>
          <w:i w:val="0"/>
          <w:iCs w:val="0"/>
          <w:caps w:val="0"/>
          <w:spacing w:val="0"/>
          <w:sz w:val="31"/>
          <w:szCs w:val="31"/>
          <w:bdr w:val="none" w:color="auto" w:sz="0" w:space="0"/>
          <w:shd w:val="clear" w:fill="FFFFFF"/>
        </w:rPr>
        <w:t>不限所学专业。</w:t>
      </w:r>
    </w:p>
    <w:p w14:paraId="01CFF3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Style w:val="5"/>
          <w:rFonts w:hint="default" w:ascii="仿宋_GB2312" w:hAnsi="Times New Roman" w:eastAsia="仿宋_GB2312" w:cs="仿宋_GB2312"/>
          <w:i w:val="0"/>
          <w:iCs w:val="0"/>
          <w:caps w:val="0"/>
          <w:spacing w:val="0"/>
          <w:sz w:val="31"/>
          <w:szCs w:val="31"/>
          <w:bdr w:val="none" w:color="auto" w:sz="0" w:space="0"/>
          <w:shd w:val="clear" w:fill="FFFFFF"/>
        </w:rPr>
        <w:t>本科专业</w:t>
      </w:r>
      <w:r>
        <w:rPr>
          <w:rFonts w:hint="default" w:ascii="仿宋_GB2312" w:hAnsi="Times New Roman" w:eastAsia="仿宋_GB2312" w:cs="仿宋_GB2312"/>
          <w:i w:val="0"/>
          <w:iCs w:val="0"/>
          <w:caps w:val="0"/>
          <w:spacing w:val="0"/>
          <w:sz w:val="31"/>
          <w:szCs w:val="31"/>
          <w:bdr w:val="none" w:color="auto" w:sz="0" w:space="0"/>
          <w:shd w:val="clear" w:fill="FFFFFF"/>
        </w:rPr>
        <w:t>：心理学类（心理学、应用心理学）；小学教育（取得心理健康教师资格或全科教师资格，限报小学心理健康），心理健康教育。</w:t>
      </w:r>
    </w:p>
    <w:p w14:paraId="565C9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default" w:ascii="Times New Roman" w:hAnsi="Times New Roman" w:cs="Times New Roman"/>
          <w:i w:val="0"/>
          <w:iCs w:val="0"/>
          <w:caps w:val="0"/>
          <w:spacing w:val="0"/>
          <w:sz w:val="21"/>
          <w:szCs w:val="21"/>
        </w:rPr>
      </w:pPr>
      <w:r>
        <w:rPr>
          <w:rFonts w:hint="default" w:ascii="仿宋_GB2312" w:hAnsi="Times New Roman" w:eastAsia="仿宋_GB2312" w:cs="仿宋_GB2312"/>
          <w:i w:val="0"/>
          <w:iCs w:val="0"/>
          <w:caps w:val="0"/>
          <w:spacing w:val="0"/>
          <w:sz w:val="31"/>
          <w:szCs w:val="31"/>
          <w:bdr w:val="none" w:color="auto" w:sz="0" w:space="0"/>
          <w:shd w:val="clear" w:fill="FFFFFF"/>
        </w:rPr>
        <w:t> </w:t>
      </w:r>
    </w:p>
    <w:p w14:paraId="580D65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default" w:ascii="Times New Roman" w:hAnsi="Times New Roman" w:cs="Times New Roman"/>
          <w:i w:val="0"/>
          <w:iCs w:val="0"/>
          <w:caps w:val="0"/>
          <w:spacing w:val="0"/>
          <w:sz w:val="21"/>
          <w:szCs w:val="21"/>
        </w:rPr>
      </w:pPr>
      <w:r>
        <w:rPr>
          <w:rFonts w:hint="default" w:ascii="仿宋_GB2312" w:hAnsi="Times New Roman" w:eastAsia="仿宋_GB2312" w:cs="仿宋_GB2312"/>
          <w:i w:val="0"/>
          <w:iCs w:val="0"/>
          <w:caps w:val="0"/>
          <w:spacing w:val="0"/>
          <w:sz w:val="31"/>
          <w:szCs w:val="31"/>
          <w:bdr w:val="none" w:color="auto" w:sz="0" w:space="0"/>
          <w:shd w:val="clear" w:fill="FFFFFF"/>
        </w:rPr>
        <w:t> </w:t>
      </w:r>
    </w:p>
    <w:p w14:paraId="69575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both"/>
        <w:rPr>
          <w:rFonts w:hint="default" w:ascii="Times New Roman" w:hAnsi="Times New Roman" w:cs="Times New Roman"/>
          <w:i w:val="0"/>
          <w:iCs w:val="0"/>
          <w:caps w:val="0"/>
          <w:spacing w:val="0"/>
          <w:sz w:val="21"/>
          <w:szCs w:val="21"/>
        </w:rPr>
      </w:pPr>
      <w:r>
        <w:rPr>
          <w:rFonts w:hint="eastAsia" w:ascii="黑体" w:hAnsi="宋体" w:eastAsia="黑体" w:cs="黑体"/>
          <w:i w:val="0"/>
          <w:iCs w:val="0"/>
          <w:caps w:val="0"/>
          <w:spacing w:val="0"/>
          <w:sz w:val="31"/>
          <w:szCs w:val="31"/>
          <w:bdr w:val="none" w:color="auto" w:sz="0" w:space="0"/>
          <w:shd w:val="clear" w:fill="FFFFFF"/>
        </w:rPr>
        <w:t>特别说明：</w:t>
      </w:r>
      <w:r>
        <w:rPr>
          <w:rFonts w:hint="default" w:ascii="仿宋_GB2312" w:hAnsi="Times New Roman" w:eastAsia="仿宋_GB2312" w:cs="仿宋_GB2312"/>
          <w:i w:val="0"/>
          <w:iCs w:val="0"/>
          <w:caps w:val="0"/>
          <w:spacing w:val="0"/>
          <w:sz w:val="31"/>
          <w:szCs w:val="31"/>
          <w:bdr w:val="none" w:color="auto" w:sz="0" w:space="0"/>
          <w:shd w:val="clear" w:fill="FFFFFF"/>
        </w:rPr>
        <w:t>按照招聘对象所学专业与取得教师资格证专业一致或相近原则进行现场审核。</w:t>
      </w:r>
    </w:p>
    <w:p w14:paraId="1A6DB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default" w:ascii="仿宋_GB2312" w:hAnsi="Times New Roman" w:eastAsia="仿宋_GB2312" w:cs="仿宋_GB2312"/>
          <w:i w:val="0"/>
          <w:iCs w:val="0"/>
          <w:caps w:val="0"/>
          <w:spacing w:val="0"/>
          <w:sz w:val="31"/>
          <w:szCs w:val="31"/>
          <w:bdr w:val="none" w:color="auto" w:sz="0" w:space="0"/>
          <w:shd w:val="clear" w:fill="FFFFFF"/>
        </w:rPr>
        <w:t>1.如果对专业存在争议，以教育部“学信网”查询的考生当年高考录取专业名称为准；</w:t>
      </w:r>
    </w:p>
    <w:p w14:paraId="7B24E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cs="Times New Roman"/>
          <w:i w:val="0"/>
          <w:iCs w:val="0"/>
          <w:caps w:val="0"/>
          <w:spacing w:val="0"/>
          <w:sz w:val="21"/>
          <w:szCs w:val="21"/>
        </w:rPr>
      </w:pPr>
      <w:r>
        <w:rPr>
          <w:rFonts w:hint="default" w:ascii="仿宋_GB2312" w:hAnsi="Times New Roman" w:eastAsia="仿宋_GB2312" w:cs="仿宋_GB2312"/>
          <w:i w:val="0"/>
          <w:iCs w:val="0"/>
          <w:caps w:val="0"/>
          <w:spacing w:val="0"/>
          <w:sz w:val="31"/>
          <w:szCs w:val="31"/>
          <w:bdr w:val="none" w:color="auto" w:sz="0" w:space="0"/>
          <w:shd w:val="clear" w:fill="FFFFFF"/>
        </w:rPr>
        <w:t>2.xx专业(xx师资方向、xx教育方向、xx教育、xx方向），如果(xx师资方向、xx教育方向、xx教育、xx方向）与所报考</w:t>
      </w:r>
      <w:r>
        <w:rPr>
          <w:rStyle w:val="5"/>
          <w:rFonts w:hint="default" w:ascii="仿宋_GB2312" w:hAnsi="Times New Roman" w:eastAsia="仿宋_GB2312" w:cs="仿宋_GB2312"/>
          <w:i w:val="0"/>
          <w:iCs w:val="0"/>
          <w:caps w:val="0"/>
          <w:spacing w:val="0"/>
          <w:sz w:val="31"/>
          <w:szCs w:val="31"/>
          <w:bdr w:val="none" w:color="auto" w:sz="0" w:space="0"/>
          <w:shd w:val="clear" w:fill="FFFFFF"/>
        </w:rPr>
        <w:t>学科一致</w:t>
      </w:r>
      <w:r>
        <w:rPr>
          <w:rFonts w:hint="default" w:ascii="仿宋_GB2312" w:hAnsi="Times New Roman" w:eastAsia="仿宋_GB2312" w:cs="仿宋_GB2312"/>
          <w:i w:val="0"/>
          <w:iCs w:val="0"/>
          <w:caps w:val="0"/>
          <w:spacing w:val="0"/>
          <w:sz w:val="31"/>
          <w:szCs w:val="31"/>
          <w:bdr w:val="none" w:color="auto" w:sz="0" w:space="0"/>
          <w:shd w:val="clear" w:fill="FFFFFF"/>
        </w:rPr>
        <w:t>，且专业未列入《毕节市2025年特岗教师招聘岗位学历专业要求》，可以报考。</w:t>
      </w:r>
    </w:p>
    <w:p w14:paraId="776F0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cs="Times New Roman"/>
          <w:i w:val="0"/>
          <w:iCs w:val="0"/>
          <w:caps w:val="0"/>
          <w:spacing w:val="0"/>
          <w:sz w:val="21"/>
          <w:szCs w:val="21"/>
        </w:rPr>
      </w:pPr>
      <w:r>
        <w:rPr>
          <w:rFonts w:hint="default" w:ascii="仿宋_GB2312" w:hAnsi="Times New Roman" w:eastAsia="仿宋_GB2312" w:cs="仿宋_GB2312"/>
          <w:i w:val="0"/>
          <w:iCs w:val="0"/>
          <w:caps w:val="0"/>
          <w:spacing w:val="0"/>
          <w:sz w:val="31"/>
          <w:szCs w:val="31"/>
          <w:bdr w:val="none" w:color="auto" w:sz="0" w:space="0"/>
          <w:shd w:val="clear" w:fill="FFFFFF"/>
        </w:rPr>
        <w:t> </w:t>
      </w:r>
    </w:p>
    <w:p w14:paraId="35C008F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1E7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2025-06-09T10:50:31Z</dcterms:created>
  <dc:creator>admin</dc:creator>
  <cp:lastModifiedBy>Lili</cp:lastModifiedBy>
  <dcterms:modified xsi:type="dcterms:W3CDTF">2025-06-09T10:50:45Z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eyJoZGlkIjoiNWI2NmI0NTRjNGYyM2YwZmNiN2FjOTVkZDhlZmU4NmUiLCJ1c2VySWQiOiIyOTMxNzc2NDYifQ==</vt:lpwstr>
  </property>
  <property fmtid="{D5CDD505-2E9C-101B-9397-08002B2CF9AE}" pid="4" name="ICV">
    <vt:lpwstr>347DC90E518748B2BB618D6D84A832C4_12</vt:lpwstr>
  </property>
</Properties>
</file>