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00" w:lineRule="exact"/>
        <w:jc w:val="center"/>
        <w:rPr>
          <w:rFonts w:ascii="宋体" w:hAnsi="宋体"/>
          <w:b/>
          <w:color w:val="000000" w:themeColor="text1"/>
          <w:sz w:val="36"/>
          <w:szCs w:val="36"/>
          <w14:textFill>
            <w14:solidFill>
              <w14:schemeClr w14:val="tx1"/>
            </w14:solidFill>
          </w14:textFill>
        </w:rPr>
      </w:pPr>
      <w:r>
        <w:rPr>
          <w:rFonts w:hint="eastAsia" w:ascii="宋体" w:hAnsi="宋体"/>
          <w:b/>
          <w:color w:val="000000" w:themeColor="text1"/>
          <w:sz w:val="36"/>
          <w:szCs w:val="36"/>
          <w14:textFill>
            <w14:solidFill>
              <w14:schemeClr w14:val="tx1"/>
            </w14:solidFill>
          </w14:textFill>
        </w:rPr>
        <w:t>202</w:t>
      </w:r>
      <w:r>
        <w:rPr>
          <w:rFonts w:hint="eastAsia" w:ascii="宋体" w:hAnsi="宋体"/>
          <w:b/>
          <w:color w:val="000000" w:themeColor="text1"/>
          <w:sz w:val="36"/>
          <w:szCs w:val="36"/>
          <w:lang w:val="en-US" w:eastAsia="zh-CN"/>
          <w14:textFill>
            <w14:solidFill>
              <w14:schemeClr w14:val="tx1"/>
            </w14:solidFill>
          </w14:textFill>
        </w:rPr>
        <w:t>5</w:t>
      </w:r>
      <w:r>
        <w:rPr>
          <w:rFonts w:hint="eastAsia" w:ascii="宋体" w:hAnsi="宋体"/>
          <w:b/>
          <w:color w:val="000000" w:themeColor="text1"/>
          <w:sz w:val="36"/>
          <w:szCs w:val="36"/>
          <w14:textFill>
            <w14:solidFill>
              <w14:schemeClr w14:val="tx1"/>
            </w14:solidFill>
          </w14:textFill>
        </w:rPr>
        <w:t>年浦阳一小公开</w:t>
      </w:r>
      <w:r>
        <w:rPr>
          <w:rFonts w:hint="eastAsia" w:ascii="宋体" w:hAnsi="宋体"/>
          <w:b/>
          <w:color w:val="000000" w:themeColor="text1"/>
          <w:sz w:val="36"/>
          <w:szCs w:val="36"/>
          <w:lang w:val="en-US" w:eastAsia="zh-CN"/>
          <w14:textFill>
            <w14:solidFill>
              <w14:schemeClr w14:val="tx1"/>
            </w14:solidFill>
          </w14:textFill>
        </w:rPr>
        <w:t>招考竞聘</w:t>
      </w:r>
      <w:r>
        <w:rPr>
          <w:rFonts w:hint="eastAsia" w:ascii="宋体" w:hAnsi="宋体"/>
          <w:b/>
          <w:color w:val="000000" w:themeColor="text1"/>
          <w:sz w:val="36"/>
          <w:szCs w:val="36"/>
          <w14:textFill>
            <w14:solidFill>
              <w14:schemeClr w14:val="tx1"/>
            </w14:solidFill>
          </w14:textFill>
        </w:rPr>
        <w:t>综合考核办法</w:t>
      </w:r>
    </w:p>
    <w:p>
      <w:pPr>
        <w:spacing w:line="400" w:lineRule="exact"/>
        <w:ind w:firstLine="560" w:firstLineChars="200"/>
        <w:rPr>
          <w:color w:val="000000" w:themeColor="text1"/>
          <w:sz w:val="28"/>
          <w14:textFill>
            <w14:solidFill>
              <w14:schemeClr w14:val="tx1"/>
            </w14:solidFill>
          </w14:textFill>
        </w:rPr>
      </w:pPr>
    </w:p>
    <w:p>
      <w:pPr>
        <w:spacing w:line="400" w:lineRule="exact"/>
        <w:ind w:firstLine="480" w:firstLineChars="200"/>
        <w:rPr>
          <w:rFonts w:hint="eastAsia" w:ascii="仿宋" w:hAnsi="仿宋" w:eastAsia="仿宋" w:cs="仿宋"/>
          <w:color w:val="000000" w:themeColor="text1"/>
          <w:sz w:val="24"/>
          <w14:textFill>
            <w14:solidFill>
              <w14:schemeClr w14:val="tx1"/>
            </w14:solidFill>
          </w14:textFill>
        </w:rPr>
      </w:pPr>
      <w:r>
        <w:rPr>
          <w:rFonts w:hint="eastAsia" w:ascii="仿宋" w:hAnsi="仿宋" w:eastAsia="仿宋" w:cs="仿宋"/>
          <w:color w:val="000000" w:themeColor="text1"/>
          <w:sz w:val="24"/>
          <w14:textFill>
            <w14:solidFill>
              <w14:schemeClr w14:val="tx1"/>
            </w14:solidFill>
          </w14:textFill>
        </w:rPr>
        <w:t>综合考核共50分。教育科研、业务水平、辅导学生、荣誉称号（教坛新秀、名师</w:t>
      </w:r>
      <w:r>
        <w:rPr>
          <w:rFonts w:hint="eastAsia" w:ascii="仿宋" w:hAnsi="仿宋" w:eastAsia="仿宋" w:cs="仿宋"/>
          <w:color w:val="000000" w:themeColor="text1"/>
          <w:sz w:val="24"/>
          <w:lang w:eastAsia="zh-CN"/>
          <w14:textFill>
            <w14:solidFill>
              <w14:schemeClr w14:val="tx1"/>
            </w14:solidFill>
          </w14:textFill>
        </w:rPr>
        <w:t>、</w:t>
      </w:r>
      <w:r>
        <w:rPr>
          <w:rFonts w:hint="eastAsia" w:ascii="仿宋" w:hAnsi="仿宋" w:eastAsia="仿宋" w:cs="仿宋"/>
          <w:color w:val="000000" w:themeColor="text1"/>
          <w:sz w:val="24"/>
          <w:lang w:val="en-US" w:eastAsia="zh-CN"/>
          <w14:textFill>
            <w14:solidFill>
              <w14:schemeClr w14:val="tx1"/>
            </w14:solidFill>
          </w14:textFill>
        </w:rPr>
        <w:t>优秀园丁</w:t>
      </w:r>
      <w:r>
        <w:rPr>
          <w:rFonts w:hint="eastAsia" w:ascii="仿宋" w:hAnsi="仿宋" w:eastAsia="仿宋" w:cs="仿宋"/>
          <w:color w:val="000000" w:themeColor="text1"/>
          <w:sz w:val="24"/>
          <w14:textFill>
            <w14:solidFill>
              <w14:schemeClr w14:val="tx1"/>
            </w14:solidFill>
          </w14:textFill>
        </w:rPr>
        <w:t>除外）等考核材料计分起讫时间从20</w:t>
      </w:r>
      <w:r>
        <w:rPr>
          <w:rFonts w:hint="eastAsia" w:ascii="仿宋" w:hAnsi="仿宋" w:eastAsia="仿宋" w:cs="仿宋"/>
          <w:color w:val="000000" w:themeColor="text1"/>
          <w:sz w:val="24"/>
          <w:lang w:val="en-US" w:eastAsia="zh-CN"/>
          <w14:textFill>
            <w14:solidFill>
              <w14:schemeClr w14:val="tx1"/>
            </w14:solidFill>
          </w14:textFill>
        </w:rPr>
        <w:t>22</w:t>
      </w:r>
      <w:r>
        <w:rPr>
          <w:rFonts w:hint="eastAsia" w:ascii="仿宋" w:hAnsi="仿宋" w:eastAsia="仿宋" w:cs="仿宋"/>
          <w:color w:val="000000" w:themeColor="text1"/>
          <w:sz w:val="24"/>
          <w14:textFill>
            <w14:solidFill>
              <w14:schemeClr w14:val="tx1"/>
            </w14:solidFill>
          </w14:textFill>
        </w:rPr>
        <w:t>年8月1日到202</w:t>
      </w:r>
      <w:r>
        <w:rPr>
          <w:rFonts w:hint="eastAsia" w:ascii="仿宋" w:hAnsi="仿宋" w:eastAsia="仿宋" w:cs="仿宋"/>
          <w:color w:val="000000" w:themeColor="text1"/>
          <w:sz w:val="24"/>
          <w:lang w:val="en-US" w:eastAsia="zh-CN"/>
          <w14:textFill>
            <w14:solidFill>
              <w14:schemeClr w14:val="tx1"/>
            </w14:solidFill>
          </w14:textFill>
        </w:rPr>
        <w:t>5</w:t>
      </w:r>
      <w:r>
        <w:rPr>
          <w:rFonts w:hint="eastAsia" w:ascii="仿宋" w:hAnsi="仿宋" w:eastAsia="仿宋" w:cs="仿宋"/>
          <w:color w:val="000000" w:themeColor="text1"/>
          <w:sz w:val="24"/>
          <w14:textFill>
            <w14:solidFill>
              <w14:schemeClr w14:val="tx1"/>
            </w14:solidFill>
          </w14:textFill>
        </w:rPr>
        <w:t>年</w:t>
      </w:r>
      <w:r>
        <w:rPr>
          <w:rFonts w:hint="eastAsia" w:ascii="仿宋" w:hAnsi="仿宋" w:eastAsia="仿宋" w:cs="仿宋"/>
          <w:color w:val="000000" w:themeColor="text1"/>
          <w:sz w:val="24"/>
          <w:lang w:val="en-US" w:eastAsia="zh-CN"/>
          <w14:textFill>
            <w14:solidFill>
              <w14:schemeClr w14:val="tx1"/>
            </w14:solidFill>
          </w14:textFill>
        </w:rPr>
        <w:t>6</w:t>
      </w:r>
      <w:r>
        <w:rPr>
          <w:rFonts w:hint="eastAsia" w:ascii="仿宋" w:hAnsi="仿宋" w:eastAsia="仿宋" w:cs="仿宋"/>
          <w:color w:val="000000" w:themeColor="text1"/>
          <w:sz w:val="24"/>
          <w14:textFill>
            <w14:solidFill>
              <w14:schemeClr w14:val="tx1"/>
            </w14:solidFill>
          </w14:textFill>
        </w:rPr>
        <w:t>月</w:t>
      </w:r>
      <w:r>
        <w:rPr>
          <w:rFonts w:hint="eastAsia" w:ascii="仿宋" w:hAnsi="仿宋" w:eastAsia="仿宋" w:cs="仿宋"/>
          <w:color w:val="000000" w:themeColor="text1"/>
          <w:sz w:val="24"/>
          <w:lang w:val="en-US" w:eastAsia="zh-CN"/>
          <w14:textFill>
            <w14:solidFill>
              <w14:schemeClr w14:val="tx1"/>
            </w14:solidFill>
          </w14:textFill>
        </w:rPr>
        <w:t>3</w:t>
      </w:r>
      <w:bookmarkStart w:id="0" w:name="_GoBack"/>
      <w:bookmarkEnd w:id="0"/>
      <w:r>
        <w:rPr>
          <w:rFonts w:hint="eastAsia" w:ascii="仿宋" w:hAnsi="仿宋" w:eastAsia="仿宋" w:cs="仿宋"/>
          <w:color w:val="000000" w:themeColor="text1"/>
          <w:sz w:val="24"/>
          <w14:textFill>
            <w14:solidFill>
              <w14:schemeClr w14:val="tx1"/>
            </w14:solidFill>
          </w14:textFill>
        </w:rPr>
        <w:t>日止，以文件、证书、档案等材料原件为准。获奖等级是指一、二、三等奖。</w:t>
      </w:r>
    </w:p>
    <w:p>
      <w:pPr>
        <w:spacing w:line="460" w:lineRule="atLeast"/>
        <w:jc w:val="center"/>
        <w:rPr>
          <w:rFonts w:ascii="宋体" w:hAnsi="宋体"/>
          <w:b/>
          <w:color w:val="000000" w:themeColor="text1"/>
          <w:sz w:val="32"/>
          <w:szCs w:val="32"/>
          <w14:textFill>
            <w14:solidFill>
              <w14:schemeClr w14:val="tx1"/>
            </w14:solidFill>
          </w14:textFill>
        </w:rPr>
      </w:pPr>
      <w:r>
        <w:rPr>
          <w:rFonts w:hint="eastAsia" w:ascii="宋体" w:hAnsi="宋体"/>
          <w:b/>
          <w:color w:val="000000" w:themeColor="text1"/>
          <w:sz w:val="32"/>
          <w:szCs w:val="32"/>
          <w14:textFill>
            <w14:solidFill>
              <w14:schemeClr w14:val="tx1"/>
            </w14:solidFill>
          </w14:textFill>
        </w:rPr>
        <w:t>语文、数学</w:t>
      </w:r>
      <w:r>
        <w:rPr>
          <w:rFonts w:hint="eastAsia" w:ascii="宋体" w:hAnsi="宋体"/>
          <w:b/>
          <w:color w:val="000000" w:themeColor="text1"/>
          <w:sz w:val="32"/>
          <w:szCs w:val="32"/>
          <w:lang w:eastAsia="zh-CN"/>
          <w14:textFill>
            <w14:solidFill>
              <w14:schemeClr w14:val="tx1"/>
            </w14:solidFill>
          </w14:textFill>
        </w:rPr>
        <w:t>、</w:t>
      </w:r>
      <w:r>
        <w:rPr>
          <w:rFonts w:hint="eastAsia" w:ascii="宋体" w:hAnsi="宋体"/>
          <w:b/>
          <w:color w:val="000000" w:themeColor="text1"/>
          <w:sz w:val="32"/>
          <w:szCs w:val="32"/>
          <w:lang w:val="en-US" w:eastAsia="zh-CN"/>
          <w14:textFill>
            <w14:solidFill>
              <w14:schemeClr w14:val="tx1"/>
            </w14:solidFill>
          </w14:textFill>
        </w:rPr>
        <w:t>科学</w:t>
      </w:r>
      <w:r>
        <w:rPr>
          <w:rFonts w:hint="eastAsia" w:ascii="宋体" w:hAnsi="宋体"/>
          <w:b/>
          <w:color w:val="000000" w:themeColor="text1"/>
          <w:sz w:val="32"/>
          <w:szCs w:val="32"/>
          <w14:textFill>
            <w14:solidFill>
              <w14:schemeClr w14:val="tx1"/>
            </w14:solidFill>
          </w14:textFill>
        </w:rPr>
        <w:t>学科</w:t>
      </w:r>
    </w:p>
    <w:p>
      <w:pPr>
        <w:keepNext w:val="0"/>
        <w:keepLines w:val="0"/>
        <w:pageBreakBefore w:val="0"/>
        <w:widowControl w:val="0"/>
        <w:kinsoku/>
        <w:wordWrap/>
        <w:overflowPunct/>
        <w:topLinePunct w:val="0"/>
        <w:autoSpaceDE/>
        <w:autoSpaceDN/>
        <w:bidi w:val="0"/>
        <w:adjustRightInd/>
        <w:spacing w:line="380" w:lineRule="exact"/>
        <w:ind w:firstLine="482" w:firstLineChars="200"/>
        <w:textAlignment w:val="auto"/>
        <w:rPr>
          <w:b/>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一、教学效果（</w:t>
      </w:r>
      <w:r>
        <w:rPr>
          <w:rFonts w:hint="eastAsia"/>
          <w:b/>
          <w:color w:val="000000" w:themeColor="text1"/>
          <w:sz w:val="24"/>
          <w:lang w:val="en-US" w:eastAsia="zh-CN"/>
          <w14:textFill>
            <w14:solidFill>
              <w14:schemeClr w14:val="tx1"/>
            </w14:solidFill>
          </w14:textFill>
        </w:rPr>
        <w:t>24</w:t>
      </w:r>
      <w:r>
        <w:rPr>
          <w:rFonts w:hint="eastAsia"/>
          <w:b/>
          <w:color w:val="000000" w:themeColor="text1"/>
          <w:sz w:val="24"/>
          <w14:textFill>
            <w14:solidFill>
              <w14:schemeClr w14:val="tx1"/>
            </w14:solidFill>
          </w14:textFill>
        </w:rPr>
        <w:t>分）</w:t>
      </w:r>
    </w:p>
    <w:p>
      <w:pPr>
        <w:keepNext w:val="0"/>
        <w:keepLines w:val="0"/>
        <w:pageBreakBefore w:val="0"/>
        <w:widowControl w:val="0"/>
        <w:kinsoku/>
        <w:wordWrap/>
        <w:overflowPunct/>
        <w:topLinePunct w:val="0"/>
        <w:autoSpaceDE/>
        <w:autoSpaceDN/>
        <w:bidi w:val="0"/>
        <w:adjustRightInd/>
        <w:snapToGrid w:val="0"/>
        <w:spacing w:line="380" w:lineRule="exact"/>
        <w:ind w:firstLine="480" w:firstLineChars="200"/>
        <w:textAlignment w:val="auto"/>
        <w:rPr>
          <w:color w:val="auto"/>
          <w:sz w:val="24"/>
        </w:rPr>
      </w:pPr>
      <w:r>
        <w:rPr>
          <w:color w:val="000000" w:themeColor="text1"/>
          <w:sz w:val="24"/>
          <w14:textFill>
            <w14:solidFill>
              <w14:schemeClr w14:val="tx1"/>
            </w14:solidFill>
          </w14:textFill>
        </w:rPr>
        <w:t>考核近三个学年</w:t>
      </w:r>
      <w:r>
        <w:rPr>
          <w:rFonts w:hint="eastAsia"/>
          <w:color w:val="000000" w:themeColor="text1"/>
          <w:sz w:val="24"/>
          <w:highlight w:val="none"/>
          <w:lang w:val="en-US" w:eastAsia="zh-CN"/>
          <w14:textFill>
            <w14:solidFill>
              <w14:schemeClr w14:val="tx1"/>
            </w14:solidFill>
          </w14:textFill>
        </w:rPr>
        <w:t>5</w:t>
      </w:r>
      <w:r>
        <w:rPr>
          <w:color w:val="000000" w:themeColor="text1"/>
          <w:sz w:val="24"/>
          <w14:textFill>
            <w14:solidFill>
              <w14:schemeClr w14:val="tx1"/>
            </w14:solidFill>
          </w14:textFill>
        </w:rPr>
        <w:t>个学期</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2022学年、2023学年、2024学年</w:t>
      </w:r>
      <w:r>
        <w:rPr>
          <w:rFonts w:hint="eastAsia"/>
          <w:color w:val="000000" w:themeColor="text1"/>
          <w:sz w:val="24"/>
          <w:lang w:eastAsia="zh-CN"/>
          <w14:textFill>
            <w14:solidFill>
              <w14:schemeClr w14:val="tx1"/>
            </w14:solidFill>
          </w14:textFill>
        </w:rPr>
        <w:t>）</w:t>
      </w:r>
      <w:r>
        <w:rPr>
          <w:color w:val="000000" w:themeColor="text1"/>
          <w:sz w:val="24"/>
          <w14:textFill>
            <w14:solidFill>
              <w14:schemeClr w14:val="tx1"/>
            </w14:solidFill>
          </w14:textFill>
        </w:rPr>
        <w:t>所任班级</w:t>
      </w:r>
      <w:r>
        <w:rPr>
          <w:rFonts w:hint="eastAsia"/>
          <w:color w:val="000000" w:themeColor="text1"/>
          <w:sz w:val="24"/>
          <w:lang w:val="en-US" w:eastAsia="zh-CN"/>
          <w14:textFill>
            <w14:solidFill>
              <w14:schemeClr w14:val="tx1"/>
            </w14:solidFill>
          </w14:textFill>
        </w:rPr>
        <w:t>报考</w:t>
      </w:r>
      <w:r>
        <w:rPr>
          <w:color w:val="000000" w:themeColor="text1"/>
          <w:sz w:val="24"/>
          <w14:textFill>
            <w14:solidFill>
              <w14:schemeClr w14:val="tx1"/>
            </w14:solidFill>
          </w14:textFill>
        </w:rPr>
        <w:t>学科的期末教学成绩，以中小为单位</w:t>
      </w:r>
      <w:r>
        <w:rPr>
          <w:rFonts w:hint="eastAsia"/>
          <w:color w:val="000000" w:themeColor="text1"/>
          <w:sz w:val="24"/>
          <w14:textFill>
            <w14:solidFill>
              <w14:schemeClr w14:val="tx1"/>
            </w14:solidFill>
          </w14:textFill>
        </w:rPr>
        <w:t>，原始档案为依据，</w:t>
      </w:r>
      <w:r>
        <w:rPr>
          <w:color w:val="000000" w:themeColor="text1"/>
          <w:sz w:val="24"/>
          <w14:textFill>
            <w14:solidFill>
              <w14:schemeClr w14:val="tx1"/>
            </w14:solidFill>
          </w14:textFill>
        </w:rPr>
        <w:t>按均量值计算。每学期以年级平均均量值为基数，达到基数的记</w:t>
      </w:r>
      <w:r>
        <w:rPr>
          <w:rFonts w:hint="eastAsia"/>
          <w:color w:val="000000" w:themeColor="text1"/>
          <w:sz w:val="24"/>
          <w:lang w:val="en-US" w:eastAsia="zh-CN"/>
          <w14:textFill>
            <w14:solidFill>
              <w14:schemeClr w14:val="tx1"/>
            </w14:solidFill>
          </w14:textFill>
        </w:rPr>
        <w:t>4</w:t>
      </w:r>
      <w:r>
        <w:rPr>
          <w:color w:val="000000" w:themeColor="text1"/>
          <w:sz w:val="24"/>
          <w14:textFill>
            <w14:solidFill>
              <w14:schemeClr w14:val="tx1"/>
            </w14:solidFill>
          </w14:textFill>
        </w:rPr>
        <w:t>分，</w:t>
      </w:r>
      <w:r>
        <w:rPr>
          <w:rFonts w:hint="eastAsia"/>
          <w:color w:val="000000" w:themeColor="text1"/>
          <w:sz w:val="24"/>
          <w14:textFill>
            <w14:solidFill>
              <w14:schemeClr w14:val="tx1"/>
            </w14:solidFill>
          </w14:textFill>
        </w:rPr>
        <w:t>每</w:t>
      </w:r>
      <w:r>
        <w:rPr>
          <w:color w:val="000000" w:themeColor="text1"/>
          <w:sz w:val="24"/>
          <w14:textFill>
            <w14:solidFill>
              <w14:schemeClr w14:val="tx1"/>
            </w14:solidFill>
          </w14:textFill>
        </w:rPr>
        <w:t>超过平均均量值0.1分的加记0.1分，最高</w:t>
      </w:r>
      <w:r>
        <w:rPr>
          <w:rFonts w:hint="eastAsia"/>
          <w:color w:val="000000" w:themeColor="text1"/>
          <w:sz w:val="24"/>
          <w14:textFill>
            <w14:solidFill>
              <w14:schemeClr w14:val="tx1"/>
            </w14:solidFill>
          </w14:textFill>
        </w:rPr>
        <w:t>记</w:t>
      </w:r>
      <w:r>
        <w:rPr>
          <w:rFonts w:hint="eastAsia"/>
          <w:color w:val="000000" w:themeColor="text1"/>
          <w:sz w:val="24"/>
          <w:lang w:val="en-US" w:eastAsia="zh-CN"/>
          <w14:textFill>
            <w14:solidFill>
              <w14:schemeClr w14:val="tx1"/>
            </w14:solidFill>
          </w14:textFill>
        </w:rPr>
        <w:t>4.8</w:t>
      </w:r>
      <w:r>
        <w:rPr>
          <w:color w:val="000000" w:themeColor="text1"/>
          <w:sz w:val="24"/>
          <w14:textFill>
            <w14:solidFill>
              <w14:schemeClr w14:val="tx1"/>
            </w14:solidFill>
          </w14:textFill>
        </w:rPr>
        <w:t>分；</w:t>
      </w:r>
      <w:r>
        <w:rPr>
          <w:rFonts w:hint="eastAsia"/>
          <w:color w:val="000000" w:themeColor="text1"/>
          <w:sz w:val="24"/>
          <w14:textFill>
            <w14:solidFill>
              <w14:schemeClr w14:val="tx1"/>
            </w14:solidFill>
          </w14:textFill>
        </w:rPr>
        <w:t>每</w:t>
      </w:r>
      <w:r>
        <w:rPr>
          <w:color w:val="000000" w:themeColor="text1"/>
          <w:sz w:val="24"/>
          <w14:textFill>
            <w14:solidFill>
              <w14:schemeClr w14:val="tx1"/>
            </w14:solidFill>
          </w14:textFill>
        </w:rPr>
        <w:t>低于平均均</w:t>
      </w:r>
      <w:r>
        <w:rPr>
          <w:color w:val="auto"/>
          <w:sz w:val="24"/>
        </w:rPr>
        <w:t>量值0.1分的扣记0.1分，每学期最低</w:t>
      </w:r>
      <w:r>
        <w:rPr>
          <w:rFonts w:hint="eastAsia"/>
          <w:color w:val="auto"/>
          <w:sz w:val="24"/>
        </w:rPr>
        <w:t>记</w:t>
      </w:r>
      <w:r>
        <w:rPr>
          <w:rFonts w:hint="eastAsia"/>
          <w:color w:val="auto"/>
          <w:sz w:val="24"/>
          <w:lang w:val="en-US" w:eastAsia="zh-CN"/>
        </w:rPr>
        <w:t>3</w:t>
      </w:r>
      <w:r>
        <w:rPr>
          <w:color w:val="auto"/>
          <w:sz w:val="24"/>
        </w:rPr>
        <w:t>分。</w:t>
      </w:r>
      <w:r>
        <w:rPr>
          <w:rFonts w:hint="eastAsia"/>
          <w:color w:val="auto"/>
          <w:sz w:val="24"/>
        </w:rPr>
        <w:t>任教两个及两个以上班的记平均得分。</w:t>
      </w:r>
      <w:r>
        <w:rPr>
          <w:rFonts w:hint="eastAsia"/>
          <w:color w:val="auto"/>
          <w:sz w:val="24"/>
          <w:lang w:val="en-US" w:eastAsia="zh-CN"/>
        </w:rPr>
        <w:t>没有组织统一考试的或</w:t>
      </w:r>
      <w:r>
        <w:rPr>
          <w:rFonts w:hint="eastAsia"/>
          <w:color w:val="auto"/>
          <w:sz w:val="24"/>
        </w:rPr>
        <w:t>因公</w:t>
      </w:r>
      <w:r>
        <w:rPr>
          <w:rFonts w:hint="eastAsia"/>
          <w:color w:val="auto"/>
          <w:sz w:val="24"/>
          <w:lang w:eastAsia="zh-CN"/>
        </w:rPr>
        <w:t>、</w:t>
      </w:r>
      <w:r>
        <w:rPr>
          <w:rFonts w:hint="eastAsia"/>
          <w:color w:val="auto"/>
          <w:sz w:val="24"/>
        </w:rPr>
        <w:t>产假没有学科成绩的</w:t>
      </w:r>
      <w:r>
        <w:rPr>
          <w:rFonts w:hint="eastAsia"/>
          <w:color w:val="auto"/>
          <w:sz w:val="24"/>
          <w:highlight w:val="none"/>
          <w:lang w:eastAsia="zh-CN"/>
        </w:rPr>
        <w:t>，</w:t>
      </w:r>
      <w:r>
        <w:rPr>
          <w:rFonts w:hint="eastAsia"/>
          <w:color w:val="auto"/>
          <w:sz w:val="24"/>
          <w:highlight w:val="none"/>
          <w:lang w:val="en-US" w:eastAsia="zh-CN"/>
        </w:rPr>
        <w:t>取考核期内其他几个学期的平均值</w:t>
      </w:r>
      <w:r>
        <w:rPr>
          <w:rFonts w:hint="eastAsia"/>
          <w:color w:val="auto"/>
          <w:sz w:val="24"/>
        </w:rPr>
        <w:t>。</w:t>
      </w:r>
    </w:p>
    <w:p>
      <w:pPr>
        <w:keepNext w:val="0"/>
        <w:keepLines w:val="0"/>
        <w:pageBreakBefore w:val="0"/>
        <w:widowControl w:val="0"/>
        <w:numPr>
          <w:ilvl w:val="0"/>
          <w:numId w:val="0"/>
        </w:numPr>
        <w:kinsoku/>
        <w:wordWrap/>
        <w:overflowPunct/>
        <w:topLinePunct w:val="0"/>
        <w:autoSpaceDE/>
        <w:autoSpaceDN/>
        <w:bidi w:val="0"/>
        <w:adjustRightInd/>
        <w:spacing w:line="380" w:lineRule="exact"/>
        <w:ind w:firstLine="482" w:firstLineChars="200"/>
        <w:textAlignment w:val="auto"/>
        <w:rPr>
          <w:b/>
          <w:color w:val="auto"/>
          <w:sz w:val="24"/>
        </w:rPr>
      </w:pPr>
      <w:r>
        <w:rPr>
          <w:rFonts w:hint="eastAsia"/>
          <w:b/>
          <w:color w:val="auto"/>
          <w:sz w:val="24"/>
          <w:lang w:val="en-US" w:eastAsia="zh-CN"/>
        </w:rPr>
        <w:t>二、</w:t>
      </w:r>
      <w:r>
        <w:rPr>
          <w:rFonts w:hint="eastAsia"/>
          <w:b/>
          <w:color w:val="auto"/>
          <w:sz w:val="24"/>
        </w:rPr>
        <w:t>教育科研（</w:t>
      </w:r>
      <w:r>
        <w:rPr>
          <w:rFonts w:hint="eastAsia"/>
          <w:b/>
          <w:color w:val="auto"/>
          <w:sz w:val="24"/>
          <w:lang w:val="en-US" w:eastAsia="zh-CN"/>
        </w:rPr>
        <w:t>8</w:t>
      </w:r>
      <w:r>
        <w:rPr>
          <w:rFonts w:hint="eastAsia"/>
          <w:b/>
          <w:color w:val="auto"/>
          <w:sz w:val="24"/>
        </w:rPr>
        <w:t>分）</w:t>
      </w:r>
    </w:p>
    <w:p>
      <w:pPr>
        <w:keepNext w:val="0"/>
        <w:keepLines w:val="0"/>
        <w:pageBreakBefore w:val="0"/>
        <w:widowControl w:val="0"/>
        <w:kinsoku/>
        <w:wordWrap/>
        <w:overflowPunct/>
        <w:topLinePunct w:val="0"/>
        <w:autoSpaceDE/>
        <w:autoSpaceDN/>
        <w:bidi w:val="0"/>
        <w:adjustRightInd/>
        <w:snapToGrid w:val="0"/>
        <w:spacing w:line="380" w:lineRule="exact"/>
        <w:ind w:firstLine="480" w:firstLineChars="200"/>
        <w:textAlignment w:val="auto"/>
        <w:rPr>
          <w:rFonts w:hint="eastAsia" w:eastAsiaTheme="minorEastAsia"/>
          <w:color w:val="000000" w:themeColor="text1"/>
          <w:sz w:val="24"/>
          <w:lang w:eastAsia="zh-CN"/>
          <w14:textFill>
            <w14:solidFill>
              <w14:schemeClr w14:val="tx1"/>
            </w14:solidFill>
          </w14:textFill>
        </w:rPr>
      </w:pPr>
      <w:r>
        <w:rPr>
          <w:rFonts w:hint="eastAsia"/>
          <w:color w:val="auto"/>
          <w:sz w:val="24"/>
        </w:rPr>
        <w:t>论文（5分）：出版过个人教育专著的记5分。有论文在“各学科重点刊物”上发表的每篇记</w:t>
      </w:r>
      <w:r>
        <w:rPr>
          <w:rFonts w:hint="eastAsia"/>
          <w:color w:val="auto"/>
          <w:sz w:val="24"/>
          <w:lang w:val="en-US" w:eastAsia="zh-CN"/>
        </w:rPr>
        <w:t>1.5</w:t>
      </w:r>
      <w:r>
        <w:rPr>
          <w:rFonts w:hint="eastAsia"/>
          <w:color w:val="auto"/>
          <w:sz w:val="24"/>
        </w:rPr>
        <w:t>分，在非“各学科重点刊物”上发</w:t>
      </w:r>
      <w:r>
        <w:rPr>
          <w:rFonts w:hint="eastAsia"/>
          <w:color w:val="000000" w:themeColor="text1"/>
          <w:sz w:val="24"/>
          <w14:textFill>
            <w14:solidFill>
              <w14:schemeClr w14:val="tx1"/>
            </w14:solidFill>
          </w14:textFill>
        </w:rPr>
        <w:t>表的每篇记</w:t>
      </w:r>
      <w:r>
        <w:rPr>
          <w:rFonts w:hint="eastAsia"/>
          <w:color w:val="000000" w:themeColor="text1"/>
          <w:sz w:val="24"/>
          <w:lang w:val="en-US" w:eastAsia="zh-CN"/>
          <w14:textFill>
            <w14:solidFill>
              <w14:schemeClr w14:val="tx1"/>
            </w14:solidFill>
          </w14:textFill>
        </w:rPr>
        <w:t>1</w:t>
      </w:r>
      <w:r>
        <w:rPr>
          <w:rFonts w:hint="eastAsia"/>
          <w:color w:val="000000" w:themeColor="text1"/>
          <w:sz w:val="24"/>
          <w14:textFill>
            <w14:solidFill>
              <w14:schemeClr w14:val="tx1"/>
            </w14:solidFill>
          </w14:textFill>
        </w:rPr>
        <w:t>分。获得省级一等奖及以上的每篇记1</w:t>
      </w:r>
      <w:r>
        <w:rPr>
          <w:color w:val="000000" w:themeColor="text1"/>
          <w:sz w:val="24"/>
          <w14:textFill>
            <w14:solidFill>
              <w14:schemeClr w14:val="tx1"/>
            </w14:solidFill>
          </w14:textFill>
        </w:rPr>
        <w:t>.5</w:t>
      </w:r>
      <w:r>
        <w:rPr>
          <w:rFonts w:hint="eastAsia"/>
          <w:color w:val="000000" w:themeColor="text1"/>
          <w:sz w:val="24"/>
          <w14:textFill>
            <w14:solidFill>
              <w14:schemeClr w14:val="tx1"/>
            </w14:solidFill>
          </w14:textFill>
        </w:rPr>
        <w:t>分，二等奖记</w:t>
      </w:r>
      <w:r>
        <w:rPr>
          <w:color w:val="000000" w:themeColor="text1"/>
          <w:sz w:val="24"/>
          <w14:textFill>
            <w14:solidFill>
              <w14:schemeClr w14:val="tx1"/>
            </w14:solidFill>
          </w14:textFill>
        </w:rPr>
        <w:t>1</w:t>
      </w:r>
      <w:r>
        <w:rPr>
          <w:rFonts w:hint="eastAsia"/>
          <w:color w:val="000000" w:themeColor="text1"/>
          <w:sz w:val="24"/>
          <w:lang w:val="en-US" w:eastAsia="zh-CN"/>
          <w14:textFill>
            <w14:solidFill>
              <w14:schemeClr w14:val="tx1"/>
            </w14:solidFill>
          </w14:textFill>
        </w:rPr>
        <w:t>.2</w:t>
      </w:r>
      <w:r>
        <w:rPr>
          <w:rFonts w:hint="eastAsia"/>
          <w:color w:val="000000" w:themeColor="text1"/>
          <w:sz w:val="24"/>
          <w14:textFill>
            <w14:solidFill>
              <w14:schemeClr w14:val="tx1"/>
            </w14:solidFill>
          </w14:textFill>
        </w:rPr>
        <w:t>分，三等奖记</w:t>
      </w:r>
      <w:r>
        <w:rPr>
          <w:rFonts w:hint="eastAsia"/>
          <w:color w:val="000000" w:themeColor="text1"/>
          <w:sz w:val="24"/>
          <w:lang w:val="en-US" w:eastAsia="zh-CN"/>
          <w14:textFill>
            <w14:solidFill>
              <w14:schemeClr w14:val="tx1"/>
            </w14:solidFill>
          </w14:textFill>
        </w:rPr>
        <w:t>1</w:t>
      </w:r>
      <w:r>
        <w:rPr>
          <w:rFonts w:hint="eastAsia"/>
          <w:color w:val="000000" w:themeColor="text1"/>
          <w:sz w:val="24"/>
          <w14:textFill>
            <w14:solidFill>
              <w14:schemeClr w14:val="tx1"/>
            </w14:solidFill>
          </w14:textFill>
        </w:rPr>
        <w:t>分；市级一等奖记</w:t>
      </w:r>
      <w:r>
        <w:rPr>
          <w:rFonts w:hint="eastAsia"/>
          <w:color w:val="000000" w:themeColor="text1"/>
          <w:sz w:val="24"/>
          <w:lang w:val="en-US" w:eastAsia="zh-CN"/>
          <w14:textFill>
            <w14:solidFill>
              <w14:schemeClr w14:val="tx1"/>
            </w14:solidFill>
          </w14:textFill>
        </w:rPr>
        <w:t>1</w:t>
      </w:r>
      <w:r>
        <w:rPr>
          <w:rFonts w:hint="eastAsia"/>
          <w:color w:val="000000" w:themeColor="text1"/>
          <w:sz w:val="24"/>
          <w14:textFill>
            <w14:solidFill>
              <w14:schemeClr w14:val="tx1"/>
            </w14:solidFill>
          </w14:textFill>
        </w:rPr>
        <w:t>分，二等奖记0.</w:t>
      </w:r>
      <w:r>
        <w:rPr>
          <w:rFonts w:hint="eastAsia"/>
          <w:color w:val="000000" w:themeColor="text1"/>
          <w:sz w:val="24"/>
          <w:lang w:val="en-US" w:eastAsia="zh-CN"/>
          <w14:textFill>
            <w14:solidFill>
              <w14:schemeClr w14:val="tx1"/>
            </w14:solidFill>
          </w14:textFill>
        </w:rPr>
        <w:t>7</w:t>
      </w:r>
      <w:r>
        <w:rPr>
          <w:rFonts w:hint="eastAsia"/>
          <w:color w:val="000000" w:themeColor="text1"/>
          <w:sz w:val="24"/>
          <w14:textFill>
            <w14:solidFill>
              <w14:schemeClr w14:val="tx1"/>
            </w14:solidFill>
          </w14:textFill>
        </w:rPr>
        <w:t>分，三等奖记0.</w:t>
      </w:r>
      <w:r>
        <w:rPr>
          <w:rFonts w:hint="eastAsia"/>
          <w:color w:val="000000" w:themeColor="text1"/>
          <w:sz w:val="24"/>
          <w:lang w:val="en-US" w:eastAsia="zh-CN"/>
          <w14:textFill>
            <w14:solidFill>
              <w14:schemeClr w14:val="tx1"/>
            </w14:solidFill>
          </w14:textFill>
        </w:rPr>
        <w:t>5</w:t>
      </w:r>
      <w:r>
        <w:rPr>
          <w:rFonts w:hint="eastAsia"/>
          <w:color w:val="000000" w:themeColor="text1"/>
          <w:sz w:val="24"/>
          <w14:textFill>
            <w14:solidFill>
              <w14:schemeClr w14:val="tx1"/>
            </w14:solidFill>
          </w14:textFill>
        </w:rPr>
        <w:t>分；县级一等奖记0.5分，二、三等奖记0.2分。教学设计、教案（学案）、课例报告、教学实录等同于论文记分，教育教学随笔、课件等按同级论文减半记分，《教研与师训》发表的按县一等奖计入论文获奖分。获奖、发表同一内容只记一次最高分，合作论文平均记分。国家、省级论文发表指在正式公开出版发行的专业性刊物上发表。论文获奖指在教育行政部门、教研室、教科所、教育技术中心（电教站）、教育学会（包括一级分会）组织的论文评比中获奖，个人得分计算办法：以相同报考学科为组，（本人累计得分÷第一名累计得分）×5（小数点后保留两位小数）。若第一名累计得分未超过5分的，各人均按</w:t>
      </w:r>
      <w:r>
        <w:rPr>
          <w:rFonts w:hint="eastAsia"/>
          <w:color w:val="auto"/>
          <w:sz w:val="24"/>
          <w:lang w:val="en-US" w:eastAsia="zh-CN"/>
        </w:rPr>
        <w:t>实际</w:t>
      </w:r>
      <w:r>
        <w:rPr>
          <w:rFonts w:hint="eastAsia"/>
          <w:color w:val="000000" w:themeColor="text1"/>
          <w:sz w:val="24"/>
          <w14:textFill>
            <w14:solidFill>
              <w14:schemeClr w14:val="tx1"/>
            </w14:solidFill>
          </w14:textFill>
        </w:rPr>
        <w:t>得分数记分。</w:t>
      </w:r>
    </w:p>
    <w:p>
      <w:pPr>
        <w:keepNext w:val="0"/>
        <w:keepLines w:val="0"/>
        <w:pageBreakBefore w:val="0"/>
        <w:widowControl w:val="0"/>
        <w:kinsoku/>
        <w:wordWrap/>
        <w:overflowPunct/>
        <w:topLinePunct w:val="0"/>
        <w:autoSpaceDE/>
        <w:autoSpaceDN/>
        <w:bidi w:val="0"/>
        <w:adjustRightInd/>
        <w:snapToGrid w:val="0"/>
        <w:spacing w:line="380" w:lineRule="exact"/>
        <w:ind w:firstLine="555"/>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课题（</w:t>
      </w:r>
      <w:r>
        <w:rPr>
          <w:rFonts w:hint="eastAsia"/>
          <w:color w:val="000000" w:themeColor="text1"/>
          <w:sz w:val="24"/>
          <w:lang w:val="en-US" w:eastAsia="zh-CN"/>
          <w14:textFill>
            <w14:solidFill>
              <w14:schemeClr w14:val="tx1"/>
            </w14:solidFill>
          </w14:textFill>
        </w:rPr>
        <w:t>3</w:t>
      </w:r>
      <w:r>
        <w:rPr>
          <w:rFonts w:hint="eastAsia"/>
          <w:color w:val="000000" w:themeColor="text1"/>
          <w:sz w:val="24"/>
          <w14:textFill>
            <w14:solidFill>
              <w14:schemeClr w14:val="tx1"/>
            </w14:solidFill>
          </w14:textFill>
        </w:rPr>
        <w:t>分）：课题获奖按同级论文的4倍记分，合格课题按同级别论文三等奖记分，其中课题执笔人按1/2记分，课题负责人按1/4记分(执笔人、负责人为同一人的记一次分；执笔人、负责人多人合作的，记平均分)。小课题按同级论文的2倍记分。精品课程获奖以同级论文一等奖</w:t>
      </w:r>
      <w:r>
        <w:rPr>
          <w:rFonts w:hint="eastAsia"/>
          <w:color w:val="000000" w:themeColor="text1"/>
          <w:sz w:val="24"/>
          <w:lang w:val="en-US" w:eastAsia="zh-CN"/>
          <w14:textFill>
            <w14:solidFill>
              <w14:schemeClr w14:val="tx1"/>
            </w14:solidFill>
          </w14:textFill>
        </w:rPr>
        <w:t>记</w:t>
      </w:r>
      <w:r>
        <w:rPr>
          <w:rFonts w:hint="eastAsia"/>
          <w:color w:val="000000" w:themeColor="text1"/>
          <w:sz w:val="24"/>
          <w14:textFill>
            <w14:solidFill>
              <w14:schemeClr w14:val="tx1"/>
            </w14:solidFill>
          </w14:textFill>
        </w:rPr>
        <w:t>分（默认前两位为负责人和执笔人，记分参照课题获奖办法）。最高记</w:t>
      </w:r>
      <w:r>
        <w:rPr>
          <w:rFonts w:hint="eastAsia"/>
          <w:color w:val="000000" w:themeColor="text1"/>
          <w:sz w:val="24"/>
          <w:lang w:val="en-US" w:eastAsia="zh-CN"/>
          <w14:textFill>
            <w14:solidFill>
              <w14:schemeClr w14:val="tx1"/>
            </w14:solidFill>
          </w14:textFill>
        </w:rPr>
        <w:t>3</w:t>
      </w:r>
      <w:r>
        <w:rPr>
          <w:rFonts w:hint="eastAsia"/>
          <w:color w:val="000000" w:themeColor="text1"/>
          <w:sz w:val="24"/>
          <w14:textFill>
            <w14:solidFill>
              <w14:schemeClr w14:val="tx1"/>
            </w14:solidFill>
          </w14:textFill>
        </w:rPr>
        <w:t>分。</w:t>
      </w:r>
    </w:p>
    <w:p>
      <w:pPr>
        <w:keepNext w:val="0"/>
        <w:keepLines w:val="0"/>
        <w:pageBreakBefore w:val="0"/>
        <w:widowControl w:val="0"/>
        <w:kinsoku/>
        <w:wordWrap/>
        <w:overflowPunct/>
        <w:topLinePunct w:val="0"/>
        <w:autoSpaceDE/>
        <w:autoSpaceDN/>
        <w:bidi w:val="0"/>
        <w:adjustRightInd/>
        <w:snapToGrid w:val="0"/>
        <w:spacing w:line="380" w:lineRule="exact"/>
        <w:ind w:firstLine="555"/>
        <w:textAlignment w:val="auto"/>
        <w:rPr>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注：</w:t>
      </w:r>
      <w:r>
        <w:rPr>
          <w:rFonts w:hint="eastAsia"/>
          <w:color w:val="000000" w:themeColor="text1"/>
          <w:sz w:val="24"/>
          <w14:textFill>
            <w14:solidFill>
              <w14:schemeClr w14:val="tx1"/>
            </w14:solidFill>
          </w14:textFill>
        </w:rPr>
        <w:t>在“各学科重点刊物”上发表的论文记分不封</w:t>
      </w:r>
      <w:r>
        <w:rPr>
          <w:rFonts w:hint="eastAsia"/>
          <w:color w:val="auto"/>
          <w:sz w:val="24"/>
        </w:rPr>
        <w:t>顶，在非“各学科重点刊物”上发表的论文每</w:t>
      </w:r>
      <w:r>
        <w:rPr>
          <w:rFonts w:hint="eastAsia"/>
          <w:color w:val="auto"/>
          <w:sz w:val="24"/>
          <w:lang w:val="en-US" w:eastAsia="zh-CN"/>
        </w:rPr>
        <w:t>学</w:t>
      </w:r>
      <w:r>
        <w:rPr>
          <w:rFonts w:hint="eastAsia"/>
          <w:color w:val="auto"/>
          <w:sz w:val="24"/>
        </w:rPr>
        <w:t>年累计记分</w:t>
      </w:r>
      <w:r>
        <w:rPr>
          <w:rFonts w:hint="eastAsia"/>
          <w:color w:val="auto"/>
          <w:sz w:val="24"/>
          <w:lang w:val="en-US" w:eastAsia="zh-CN"/>
        </w:rPr>
        <w:t>5</w:t>
      </w:r>
      <w:r>
        <w:rPr>
          <w:rFonts w:hint="eastAsia"/>
          <w:color w:val="auto"/>
          <w:sz w:val="24"/>
        </w:rPr>
        <w:t>分封顶（“各学科重点刊物”见县教科</w:t>
      </w:r>
      <w:r>
        <w:rPr>
          <w:rFonts w:hint="eastAsia"/>
          <w:color w:val="000000" w:themeColor="text1"/>
          <w:sz w:val="24"/>
          <w14:textFill>
            <w14:solidFill>
              <w14:schemeClr w14:val="tx1"/>
            </w14:solidFill>
          </w14:textFill>
        </w:rPr>
        <w:t>所考核细则的界定）。</w:t>
      </w:r>
      <w:r>
        <w:rPr>
          <w:rFonts w:hint="eastAsia"/>
          <w:color w:val="000000" w:themeColor="text1"/>
          <w:sz w:val="24"/>
          <w:lang w:val="en-US" w:eastAsia="zh-CN"/>
          <w14:textFill>
            <w14:solidFill>
              <w14:schemeClr w14:val="tx1"/>
            </w14:solidFill>
          </w14:textFill>
        </w:rPr>
        <w:t>获奖、</w:t>
      </w:r>
      <w:r>
        <w:rPr>
          <w:rFonts w:hint="eastAsia"/>
          <w:color w:val="000000" w:themeColor="text1"/>
          <w:sz w:val="24"/>
          <w14:textFill>
            <w14:solidFill>
              <w14:schemeClr w14:val="tx1"/>
            </w14:solidFill>
          </w14:textFill>
        </w:rPr>
        <w:t>发表论文须与报考学科对口，</w:t>
      </w:r>
      <w:r>
        <w:rPr>
          <w:rFonts w:hint="eastAsia"/>
          <w:color w:val="000000" w:themeColor="text1"/>
          <w:sz w:val="24"/>
          <w:lang w:val="en-US" w:eastAsia="zh-CN"/>
          <w14:textFill>
            <w14:solidFill>
              <w14:schemeClr w14:val="tx1"/>
            </w14:solidFill>
          </w14:textFill>
        </w:rPr>
        <w:t>不对口的减半记分</w:t>
      </w:r>
      <w:r>
        <w:rPr>
          <w:rFonts w:hint="eastAsia"/>
          <w:color w:val="000000" w:themeColor="text1"/>
          <w:sz w:val="24"/>
          <w14:textFill>
            <w14:solidFill>
              <w14:schemeClr w14:val="tx1"/>
            </w14:solidFill>
          </w14:textFill>
        </w:rPr>
        <w:t>。课题可以与报考学科不对口。</w:t>
      </w:r>
    </w:p>
    <w:p>
      <w:pPr>
        <w:keepNext w:val="0"/>
        <w:keepLines w:val="0"/>
        <w:pageBreakBefore w:val="0"/>
        <w:widowControl w:val="0"/>
        <w:kinsoku/>
        <w:wordWrap/>
        <w:overflowPunct/>
        <w:topLinePunct w:val="0"/>
        <w:autoSpaceDE/>
        <w:autoSpaceDN/>
        <w:bidi w:val="0"/>
        <w:adjustRightInd/>
        <w:spacing w:line="380" w:lineRule="exact"/>
        <w:ind w:firstLine="482" w:firstLineChars="200"/>
        <w:textAlignment w:val="auto"/>
        <w:rPr>
          <w:b/>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三、教师荣誉、教学业务水平（</w:t>
      </w:r>
      <w:r>
        <w:rPr>
          <w:rFonts w:hint="eastAsia"/>
          <w:b/>
          <w:color w:val="000000" w:themeColor="text1"/>
          <w:sz w:val="24"/>
          <w:lang w:val="en-US" w:eastAsia="zh-CN"/>
          <w14:textFill>
            <w14:solidFill>
              <w14:schemeClr w14:val="tx1"/>
            </w14:solidFill>
          </w14:textFill>
        </w:rPr>
        <w:t>11</w:t>
      </w:r>
      <w:r>
        <w:rPr>
          <w:rFonts w:hint="eastAsia"/>
          <w:b/>
          <w:color w:val="000000" w:themeColor="text1"/>
          <w:sz w:val="24"/>
          <w14:textFill>
            <w14:solidFill>
              <w14:schemeClr w14:val="tx1"/>
            </w14:solidFill>
          </w14:textFill>
        </w:rPr>
        <w:t>分）</w:t>
      </w:r>
    </w:p>
    <w:p>
      <w:pPr>
        <w:keepNext w:val="0"/>
        <w:keepLines w:val="0"/>
        <w:pageBreakBefore w:val="0"/>
        <w:widowControl w:val="0"/>
        <w:kinsoku/>
        <w:wordWrap/>
        <w:overflowPunct/>
        <w:topLinePunct w:val="0"/>
        <w:autoSpaceDE/>
        <w:autoSpaceDN/>
        <w:bidi w:val="0"/>
        <w:adjustRightInd/>
        <w:spacing w:line="380" w:lineRule="exact"/>
        <w:ind w:firstLine="480" w:firstLineChars="200"/>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任教以来曾获县级及以上教坛新秀、名师、优秀园丁荣誉称号的记1分。考核期内获县级及以上师德标兵（师德楷模）、名师培养人选、最美教师</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优秀教师（优秀教育工作者）、</w:t>
      </w:r>
      <w:r>
        <w:rPr>
          <w:rFonts w:hint="eastAsia"/>
          <w:color w:val="000000" w:themeColor="text1"/>
          <w:sz w:val="24"/>
          <w:lang w:val="en-US" w:eastAsia="zh-CN"/>
          <w14:textFill>
            <w14:solidFill>
              <w14:schemeClr w14:val="tx1"/>
            </w14:solidFill>
          </w14:textFill>
        </w:rPr>
        <w:t>满天星教师、</w:t>
      </w:r>
      <w:r>
        <w:rPr>
          <w:rFonts w:hint="eastAsia"/>
          <w:color w:val="000000" w:themeColor="text1"/>
          <w:sz w:val="24"/>
          <w14:textFill>
            <w14:solidFill>
              <w14:schemeClr w14:val="tx1"/>
            </w14:solidFill>
          </w14:textFill>
        </w:rPr>
        <w:t>优秀班主任</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教坛新苗等荣誉的记1分；</w:t>
      </w:r>
      <w:r>
        <w:rPr>
          <w:rFonts w:hint="eastAsia"/>
          <w:color w:val="000000" w:themeColor="text1"/>
          <w:sz w:val="24"/>
          <w14:textFill>
            <w14:solidFill>
              <w14:schemeClr w14:val="tx1"/>
            </w14:solidFill>
          </w14:textFill>
        </w:rPr>
        <w:t>优秀少先队辅导员、课改先进个人、信息工作先进个人等</w:t>
      </w:r>
      <w:r>
        <w:rPr>
          <w:rFonts w:hint="eastAsia"/>
          <w:color w:val="000000" w:themeColor="text1"/>
          <w:sz w:val="24"/>
          <w:lang w:val="en-US" w:eastAsia="zh-CN"/>
          <w14:textFill>
            <w14:solidFill>
              <w14:schemeClr w14:val="tx1"/>
            </w14:solidFill>
          </w14:textFill>
        </w:rPr>
        <w:t>单项荣誉的</w:t>
      </w:r>
      <w:r>
        <w:rPr>
          <w:rFonts w:hint="eastAsia"/>
          <w:color w:val="000000" w:themeColor="text1"/>
          <w:sz w:val="24"/>
          <w14:textFill>
            <w14:solidFill>
              <w14:schemeClr w14:val="tx1"/>
            </w14:solidFill>
          </w14:textFill>
        </w:rPr>
        <w:t>记0.</w:t>
      </w:r>
      <w:r>
        <w:rPr>
          <w:rFonts w:hint="eastAsia"/>
          <w:color w:val="000000" w:themeColor="text1"/>
          <w:sz w:val="24"/>
          <w:lang w:val="en-US" w:eastAsia="zh-CN"/>
          <w14:textFill>
            <w14:solidFill>
              <w14:schemeClr w14:val="tx1"/>
            </w14:solidFill>
          </w14:textFill>
        </w:rPr>
        <w:t>5</w:t>
      </w:r>
      <w:r>
        <w:rPr>
          <w:rFonts w:hint="eastAsia"/>
          <w:color w:val="000000" w:themeColor="text1"/>
          <w:sz w:val="24"/>
          <w14:textFill>
            <w14:solidFill>
              <w14:schemeClr w14:val="tx1"/>
            </w14:solidFill>
          </w14:textFill>
        </w:rPr>
        <w:t>分。同一荣誉只能记一次分，不同荣誉可累计记分，最高记2分。</w:t>
      </w:r>
    </w:p>
    <w:p>
      <w:pPr>
        <w:keepNext w:val="0"/>
        <w:keepLines w:val="0"/>
        <w:pageBreakBefore w:val="0"/>
        <w:widowControl w:val="0"/>
        <w:kinsoku/>
        <w:wordWrap/>
        <w:overflowPunct/>
        <w:topLinePunct w:val="0"/>
        <w:autoSpaceDE/>
        <w:autoSpaceDN/>
        <w:bidi w:val="0"/>
        <w:adjustRightInd/>
        <w:spacing w:line="380" w:lineRule="exact"/>
        <w:ind w:firstLine="480" w:firstLineChars="200"/>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考核期内，承担教育行政业务部门、教师培训部门组织的公开课、观摩课、讲座任务的(内容必须与报考学科对口)市级及以上记</w:t>
      </w:r>
      <w:r>
        <w:rPr>
          <w:rFonts w:hint="eastAsia"/>
          <w:color w:val="000000" w:themeColor="text1"/>
          <w:sz w:val="24"/>
          <w:lang w:val="en-US" w:eastAsia="zh-CN"/>
          <w14:textFill>
            <w14:solidFill>
              <w14:schemeClr w14:val="tx1"/>
            </w14:solidFill>
          </w14:textFill>
        </w:rPr>
        <w:t>1</w:t>
      </w:r>
      <w:r>
        <w:rPr>
          <w:rFonts w:hint="eastAsia"/>
          <w:color w:val="000000" w:themeColor="text1"/>
          <w:sz w:val="24"/>
          <w14:textFill>
            <w14:solidFill>
              <w14:schemeClr w14:val="tx1"/>
            </w14:solidFill>
          </w14:textFill>
        </w:rPr>
        <w:t>分，县级记0.</w:t>
      </w:r>
      <w:r>
        <w:rPr>
          <w:rFonts w:hint="eastAsia"/>
          <w:color w:val="000000" w:themeColor="text1"/>
          <w:sz w:val="24"/>
          <w:lang w:val="en-US" w:eastAsia="zh-CN"/>
          <w14:textFill>
            <w14:solidFill>
              <w14:schemeClr w14:val="tx1"/>
            </w14:solidFill>
          </w14:textFill>
        </w:rPr>
        <w:t>5</w:t>
      </w:r>
      <w:r>
        <w:rPr>
          <w:rFonts w:hint="eastAsia"/>
          <w:color w:val="000000" w:themeColor="text1"/>
          <w:sz w:val="24"/>
          <w14:textFill>
            <w14:solidFill>
              <w14:schemeClr w14:val="tx1"/>
            </w14:solidFill>
          </w14:textFill>
        </w:rPr>
        <w:t>分。以主办单位文件、证明为准。同一活动或同一内容只能记一次分。本项可累计记分，最高记1分。</w:t>
      </w:r>
    </w:p>
    <w:p>
      <w:pPr>
        <w:keepNext w:val="0"/>
        <w:keepLines w:val="0"/>
        <w:pageBreakBefore w:val="0"/>
        <w:widowControl w:val="0"/>
        <w:kinsoku/>
        <w:wordWrap/>
        <w:overflowPunct/>
        <w:topLinePunct w:val="0"/>
        <w:autoSpaceDE/>
        <w:autoSpaceDN/>
        <w:bidi w:val="0"/>
        <w:adjustRightInd/>
        <w:spacing w:line="380" w:lineRule="exact"/>
        <w:ind w:firstLine="480" w:firstLineChars="200"/>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考核期内，在教育行政业务部门组织的与业务有关的基本功比赛</w:t>
      </w:r>
      <w:r>
        <w:rPr>
          <w:rFonts w:hint="eastAsia"/>
          <w:color w:val="000000" w:themeColor="text1"/>
          <w:sz w:val="24"/>
          <w:lang w:val="en-US" w:eastAsia="zh-CN"/>
          <w14:textFill>
            <w14:solidFill>
              <w14:schemeClr w14:val="tx1"/>
            </w14:solidFill>
          </w14:textFill>
        </w:rPr>
        <w:t>中获</w:t>
      </w:r>
      <w:r>
        <w:rPr>
          <w:rFonts w:hint="eastAsia"/>
          <w:color w:val="000000" w:themeColor="text1"/>
          <w:sz w:val="24"/>
          <w14:textFill>
            <w14:solidFill>
              <w14:schemeClr w14:val="tx1"/>
            </w14:solidFill>
          </w14:textFill>
        </w:rPr>
        <w:t>县级一等奖、市级及以上获奖记1分，县级二等奖记0.8分，县级三等奖记0.3分</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集团比赛获奖记0.2分。同一比赛按最高获奖级别记一次分，本项可累计记分。考核期内，在教育行政业务部门组织的课堂教学、优质课、教研组长素养大赛中获奖的，市级及以上获奖记3分，县级一等奖记2分、二等奖记1.5分、三等奖记0.75分、教育集团获奖记0.3分。录像课获奖按同级别减半记分。同一比赛按最高获奖级别记一次分，本项可累计记分，本项累计最高记</w:t>
      </w:r>
      <w:r>
        <w:rPr>
          <w:rFonts w:hint="eastAsia"/>
          <w:color w:val="000000" w:themeColor="text1"/>
          <w:sz w:val="24"/>
          <w:lang w:val="en-US" w:eastAsia="zh-CN"/>
          <w14:textFill>
            <w14:solidFill>
              <w14:schemeClr w14:val="tx1"/>
            </w14:solidFill>
          </w14:textFill>
        </w:rPr>
        <w:t>8</w:t>
      </w:r>
      <w:r>
        <w:rPr>
          <w:rFonts w:hint="eastAsia"/>
          <w:color w:val="000000" w:themeColor="text1"/>
          <w:sz w:val="24"/>
          <w14:textFill>
            <w14:solidFill>
              <w14:schemeClr w14:val="tx1"/>
            </w14:solidFill>
          </w14:textFill>
        </w:rPr>
        <w:t>分。未经层层选拔的降级记分。</w:t>
      </w:r>
    </w:p>
    <w:p>
      <w:pPr>
        <w:keepNext w:val="0"/>
        <w:keepLines w:val="0"/>
        <w:pageBreakBefore w:val="0"/>
        <w:widowControl w:val="0"/>
        <w:kinsoku/>
        <w:wordWrap/>
        <w:overflowPunct/>
        <w:topLinePunct w:val="0"/>
        <w:autoSpaceDE/>
        <w:autoSpaceDN/>
        <w:bidi w:val="0"/>
        <w:adjustRightInd/>
        <w:spacing w:line="380" w:lineRule="exact"/>
        <w:ind w:firstLine="482" w:firstLineChars="200"/>
        <w:textAlignment w:val="auto"/>
        <w:rPr>
          <w:b/>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四、辅导学生获奖（4.5分）</w:t>
      </w:r>
    </w:p>
    <w:p>
      <w:pPr>
        <w:keepNext w:val="0"/>
        <w:keepLines w:val="0"/>
        <w:pageBreakBefore w:val="0"/>
        <w:widowControl w:val="0"/>
        <w:kinsoku/>
        <w:wordWrap/>
        <w:overflowPunct/>
        <w:topLinePunct w:val="0"/>
        <w:autoSpaceDE/>
        <w:autoSpaceDN/>
        <w:bidi w:val="0"/>
        <w:adjustRightInd/>
        <w:spacing w:line="380" w:lineRule="exact"/>
        <w:ind w:firstLine="480" w:firstLineChars="200"/>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辅导学生参加教育行政部门、业务部门组织的学科竞赛及各级比赛中获奖的，国家级每人次记2分；省级一等奖每人次记1.5分，二、三等奖每人次记1分；市级一等奖每人次记1.5分，二等奖每人次记1分，三等奖每人次记0.8分；县级一等奖每人次记0.8分，二等奖每人次记0.5分，三等奖每人次记0.3分。（如比赛只取名次的，则第1名为一等奖，2－3名为二等奖，4－6名为三等奖。）若学生获奖为非现场赛的、非经层层选拔的均减半记分；辅导学生获奖与报考学科不对口的减半记分。同一比赛按最高获奖级别记一次分。辅导教师以主办单位文件、学校原始档案记载为准。多位教师辅导的，记平均得分。本项可累计记分，最高记4.5分。</w:t>
      </w:r>
    </w:p>
    <w:p>
      <w:pPr>
        <w:keepNext w:val="0"/>
        <w:keepLines w:val="0"/>
        <w:pageBreakBefore w:val="0"/>
        <w:widowControl w:val="0"/>
        <w:kinsoku/>
        <w:wordWrap/>
        <w:overflowPunct/>
        <w:topLinePunct w:val="0"/>
        <w:autoSpaceDE/>
        <w:autoSpaceDN/>
        <w:bidi w:val="0"/>
        <w:adjustRightInd/>
        <w:spacing w:line="380" w:lineRule="exact"/>
        <w:ind w:firstLine="482" w:firstLineChars="200"/>
        <w:textAlignment w:val="auto"/>
        <w:rPr>
          <w:b/>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五、年度考核（1.5分）</w:t>
      </w:r>
    </w:p>
    <w:p>
      <w:pPr>
        <w:keepNext w:val="0"/>
        <w:keepLines w:val="0"/>
        <w:pageBreakBefore w:val="0"/>
        <w:widowControl w:val="0"/>
        <w:kinsoku/>
        <w:wordWrap/>
        <w:overflowPunct/>
        <w:topLinePunct w:val="0"/>
        <w:autoSpaceDE/>
        <w:autoSpaceDN/>
        <w:bidi w:val="0"/>
        <w:adjustRightInd/>
        <w:spacing w:line="380" w:lineRule="exact"/>
        <w:ind w:firstLine="480" w:firstLineChars="200"/>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近三年年度考核连续优秀的记1.5分，两优一合格记1.2分，一优两合格记0.9分，三年合格的记基本分0.6分。</w:t>
      </w:r>
    </w:p>
    <w:p>
      <w:pPr>
        <w:keepNext w:val="0"/>
        <w:keepLines w:val="0"/>
        <w:pageBreakBefore w:val="0"/>
        <w:widowControl w:val="0"/>
        <w:kinsoku/>
        <w:wordWrap/>
        <w:overflowPunct/>
        <w:topLinePunct w:val="0"/>
        <w:autoSpaceDE/>
        <w:autoSpaceDN/>
        <w:bidi w:val="0"/>
        <w:adjustRightInd/>
        <w:spacing w:line="380" w:lineRule="exact"/>
        <w:ind w:firstLine="482" w:firstLineChars="200"/>
        <w:textAlignment w:val="auto"/>
        <w:rPr>
          <w:b/>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六、职务加分（1分）</w:t>
      </w:r>
    </w:p>
    <w:p>
      <w:pPr>
        <w:keepNext w:val="0"/>
        <w:keepLines w:val="0"/>
        <w:pageBreakBefore w:val="0"/>
        <w:widowControl w:val="0"/>
        <w:kinsoku/>
        <w:wordWrap/>
        <w:overflowPunct/>
        <w:topLinePunct w:val="0"/>
        <w:autoSpaceDE/>
        <w:autoSpaceDN/>
        <w:bidi w:val="0"/>
        <w:adjustRightInd/>
        <w:spacing w:line="380" w:lineRule="exact"/>
        <w:ind w:firstLine="480" w:firstLineChars="200"/>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1.考核期内担任过中小级教导主任、教科室主任、大队总辅导员等中层干部及以上或与报考学科对口的学科总教研组长一学期及以上的，记1分（以学校档案或事实调查为依据）。</w:t>
      </w:r>
    </w:p>
    <w:p>
      <w:pPr>
        <w:keepNext w:val="0"/>
        <w:keepLines w:val="0"/>
        <w:pageBreakBefore w:val="0"/>
        <w:widowControl w:val="0"/>
        <w:kinsoku/>
        <w:wordWrap/>
        <w:overflowPunct/>
        <w:topLinePunct w:val="0"/>
        <w:autoSpaceDE/>
        <w:autoSpaceDN/>
        <w:bidi w:val="0"/>
        <w:adjustRightInd/>
        <w:spacing w:line="380" w:lineRule="exact"/>
        <w:ind w:firstLine="480" w:firstLineChars="200"/>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2.县学科核心教研组、县名师工作室、特级教师带徒等成员记1分（以文件为准）。</w:t>
      </w:r>
    </w:p>
    <w:p>
      <w:pPr>
        <w:keepNext w:val="0"/>
        <w:keepLines w:val="0"/>
        <w:pageBreakBefore w:val="0"/>
        <w:widowControl w:val="0"/>
        <w:kinsoku/>
        <w:wordWrap/>
        <w:overflowPunct/>
        <w:topLinePunct w:val="0"/>
        <w:autoSpaceDE/>
        <w:autoSpaceDN/>
        <w:bidi w:val="0"/>
        <w:adjustRightInd/>
        <w:spacing w:line="380" w:lineRule="exact"/>
        <w:ind w:firstLine="480" w:firstLineChars="200"/>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本项最高记1分。</w:t>
      </w:r>
    </w:p>
    <w:p>
      <w:pPr>
        <w:keepNext w:val="0"/>
        <w:keepLines w:val="0"/>
        <w:pageBreakBefore w:val="0"/>
        <w:widowControl w:val="0"/>
        <w:kinsoku/>
        <w:wordWrap/>
        <w:overflowPunct/>
        <w:topLinePunct w:val="0"/>
        <w:autoSpaceDE/>
        <w:autoSpaceDN/>
        <w:bidi w:val="0"/>
        <w:adjustRightInd/>
        <w:spacing w:line="380" w:lineRule="exact"/>
        <w:textAlignment w:val="auto"/>
        <w:rPr>
          <w:color w:val="000000" w:themeColor="text1"/>
          <w:sz w:val="28"/>
          <w:szCs w:val="28"/>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spacing w:line="380" w:lineRule="exact"/>
        <w:ind w:firstLine="482" w:firstLineChars="200"/>
        <w:textAlignment w:val="auto"/>
        <w:rPr>
          <w:b/>
          <w:color w:val="000000" w:themeColor="text1"/>
          <w:sz w:val="24"/>
          <w14:textFill>
            <w14:solidFill>
              <w14:schemeClr w14:val="tx1"/>
            </w14:solidFill>
          </w14:textFill>
        </w:rPr>
      </w:pPr>
      <w:r>
        <w:rPr>
          <w:rFonts w:hint="eastAsia"/>
          <w:b/>
          <w:color w:val="000000" w:themeColor="text1"/>
          <w:sz w:val="24"/>
          <w14:textFill>
            <w14:solidFill>
              <w14:schemeClr w14:val="tx1"/>
            </w14:solidFill>
          </w14:textFill>
        </w:rPr>
        <w:t>本考核办法由浦阳第一小学负责解释。</w:t>
      </w:r>
    </w:p>
    <w:p>
      <w:pPr>
        <w:keepNext w:val="0"/>
        <w:keepLines w:val="0"/>
        <w:pageBreakBefore w:val="0"/>
        <w:widowControl w:val="0"/>
        <w:kinsoku/>
        <w:wordWrap/>
        <w:overflowPunct/>
        <w:topLinePunct w:val="0"/>
        <w:autoSpaceDE/>
        <w:autoSpaceDN/>
        <w:bidi w:val="0"/>
        <w:adjustRightInd/>
        <w:spacing w:line="380" w:lineRule="exact"/>
        <w:ind w:firstLine="420" w:firstLineChars="200"/>
        <w:textAlignment w:val="auto"/>
        <w:rPr>
          <w:color w:val="000000" w:themeColor="text1"/>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spacing w:line="380" w:lineRule="exact"/>
        <w:ind w:firstLine="420" w:firstLineChars="200"/>
        <w:textAlignment w:val="auto"/>
        <w:rPr>
          <w:color w:val="000000" w:themeColor="text1"/>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spacing w:line="380" w:lineRule="exact"/>
        <w:jc w:val="right"/>
        <w:textAlignment w:val="auto"/>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浦江县浦阳第一小学</w:t>
      </w:r>
    </w:p>
    <w:p>
      <w:pPr>
        <w:keepNext w:val="0"/>
        <w:keepLines w:val="0"/>
        <w:pageBreakBefore w:val="0"/>
        <w:widowControl w:val="0"/>
        <w:kinsoku/>
        <w:wordWrap/>
        <w:overflowPunct/>
        <w:topLinePunct w:val="0"/>
        <w:autoSpaceDE/>
        <w:autoSpaceDN/>
        <w:bidi w:val="0"/>
        <w:adjustRightInd/>
        <w:spacing w:line="380" w:lineRule="exact"/>
        <w:jc w:val="right"/>
        <w:textAlignment w:val="auto"/>
        <w:rPr>
          <w:rFonts w:hint="eastAsia"/>
          <w:b/>
          <w:bCs/>
          <w:color w:val="000000" w:themeColor="text1"/>
          <w:sz w:val="32"/>
          <w:szCs w:val="32"/>
          <w:lang w:val="en-US" w:eastAsia="zh-CN"/>
          <w14:textFill>
            <w14:solidFill>
              <w14:schemeClr w14:val="tx1"/>
            </w14:solidFill>
          </w14:textFill>
        </w:rPr>
      </w:pPr>
      <w:r>
        <w:rPr>
          <w:rFonts w:hint="eastAsia"/>
          <w:color w:val="000000" w:themeColor="text1"/>
          <w:sz w:val="24"/>
          <w14:textFill>
            <w14:solidFill>
              <w14:schemeClr w14:val="tx1"/>
            </w14:solidFill>
          </w14:textFill>
        </w:rPr>
        <w:t>202</w:t>
      </w:r>
      <w:r>
        <w:rPr>
          <w:rFonts w:hint="eastAsia"/>
          <w:color w:val="000000" w:themeColor="text1"/>
          <w:sz w:val="24"/>
          <w:lang w:val="en-US" w:eastAsia="zh-CN"/>
          <w14:textFill>
            <w14:solidFill>
              <w14:schemeClr w14:val="tx1"/>
            </w14:solidFill>
          </w14:textFill>
        </w:rPr>
        <w:t>5</w:t>
      </w:r>
      <w:r>
        <w:rPr>
          <w:rFonts w:hint="eastAsia"/>
          <w:color w:val="000000" w:themeColor="text1"/>
          <w:sz w:val="24"/>
          <w14:textFill>
            <w14:solidFill>
              <w14:schemeClr w14:val="tx1"/>
            </w14:solidFill>
          </w14:textFill>
        </w:rPr>
        <w:t>年</w:t>
      </w:r>
      <w:r>
        <w:rPr>
          <w:rFonts w:hint="eastAsia"/>
          <w:color w:val="000000" w:themeColor="text1"/>
          <w:sz w:val="24"/>
          <w:lang w:val="en-US" w:eastAsia="zh-CN"/>
          <w14:textFill>
            <w14:solidFill>
              <w14:schemeClr w14:val="tx1"/>
            </w14:solidFill>
          </w14:textFill>
        </w:rPr>
        <w:t>6</w:t>
      </w:r>
      <w:r>
        <w:rPr>
          <w:rFonts w:hint="eastAsia"/>
          <w:color w:val="000000" w:themeColor="text1"/>
          <w:sz w:val="24"/>
          <w14:textFill>
            <w14:solidFill>
              <w14:schemeClr w14:val="tx1"/>
            </w14:solidFill>
          </w14:textFill>
        </w:rPr>
        <w:t>月</w:t>
      </w:r>
      <w:r>
        <w:rPr>
          <w:rFonts w:hint="eastAsia"/>
          <w:color w:val="000000" w:themeColor="text1"/>
          <w:sz w:val="24"/>
          <w:lang w:val="en-US" w:eastAsia="zh-CN"/>
          <w14:textFill>
            <w14:solidFill>
              <w14:schemeClr w14:val="tx1"/>
            </w14:solidFill>
          </w14:textFill>
        </w:rPr>
        <w:t>4</w:t>
      </w:r>
      <w:r>
        <w:rPr>
          <w:rFonts w:hint="eastAsia"/>
          <w:color w:val="000000" w:themeColor="text1"/>
          <w:sz w:val="24"/>
          <w14:textFill>
            <w14:solidFill>
              <w14:schemeClr w14:val="tx1"/>
            </w14:solidFill>
          </w14:textFill>
        </w:rPr>
        <w:t>日</w:t>
      </w:r>
    </w:p>
    <w:p>
      <w:pPr>
        <w:ind w:firstLine="3855" w:firstLineChars="1200"/>
        <w:rPr>
          <w:rFonts w:hint="eastAsia"/>
          <w:b/>
          <w:bCs/>
          <w:sz w:val="32"/>
          <w:szCs w:val="32"/>
        </w:rPr>
      </w:pPr>
    </w:p>
    <w:p>
      <w:pPr>
        <w:spacing w:line="360" w:lineRule="auto"/>
        <w:ind w:left="720"/>
        <w:jc w:val="center"/>
        <w:rPr>
          <w:rFonts w:hint="eastAsia" w:ascii="宋体" w:hAnsi="宋体" w:cs="宋体"/>
          <w:b/>
          <w:color w:val="auto"/>
          <w:sz w:val="32"/>
          <w:szCs w:val="32"/>
        </w:rPr>
      </w:pPr>
      <w:r>
        <w:rPr>
          <w:rFonts w:hint="eastAsia" w:ascii="宋体" w:hAnsi="宋体" w:cs="宋体"/>
          <w:b/>
          <w:color w:val="auto"/>
          <w:sz w:val="32"/>
          <w:szCs w:val="32"/>
        </w:rPr>
        <w:t>信息技术学科</w:t>
      </w:r>
    </w:p>
    <w:p>
      <w:pPr>
        <w:spacing w:line="440" w:lineRule="atLeast"/>
        <w:ind w:firstLine="482" w:firstLineChars="200"/>
        <w:rPr>
          <w:b/>
          <w:color w:val="auto"/>
          <w:sz w:val="24"/>
        </w:rPr>
      </w:pPr>
      <w:r>
        <w:rPr>
          <w:rFonts w:hint="eastAsia"/>
          <w:b/>
          <w:color w:val="auto"/>
          <w:sz w:val="24"/>
        </w:rPr>
        <w:t>一、教育科研（</w:t>
      </w:r>
      <w:r>
        <w:rPr>
          <w:rFonts w:hint="eastAsia"/>
          <w:b/>
          <w:color w:val="auto"/>
          <w:sz w:val="24"/>
          <w:lang w:val="en-US" w:eastAsia="zh-CN"/>
        </w:rPr>
        <w:t>8</w:t>
      </w:r>
      <w:r>
        <w:rPr>
          <w:rFonts w:hint="eastAsia"/>
          <w:b/>
          <w:color w:val="auto"/>
          <w:sz w:val="24"/>
        </w:rPr>
        <w:t>分）</w:t>
      </w:r>
    </w:p>
    <w:p>
      <w:pPr>
        <w:snapToGrid w:val="0"/>
        <w:spacing w:line="420" w:lineRule="exact"/>
        <w:ind w:firstLine="555"/>
        <w:rPr>
          <w:rFonts w:hint="eastAsia" w:eastAsiaTheme="minorEastAsia"/>
          <w:color w:val="auto"/>
          <w:sz w:val="24"/>
          <w:lang w:eastAsia="zh-CN"/>
        </w:rPr>
      </w:pPr>
      <w:r>
        <w:rPr>
          <w:rFonts w:hint="eastAsia"/>
          <w:color w:val="auto"/>
          <w:sz w:val="24"/>
        </w:rPr>
        <w:t>论文（5分）：出版过个人教育专著的记5分。有论文在“各学科重点刊物”上发表的每篇记</w:t>
      </w:r>
      <w:r>
        <w:rPr>
          <w:rFonts w:hint="eastAsia"/>
          <w:color w:val="auto"/>
          <w:sz w:val="24"/>
          <w:lang w:val="en-US" w:eastAsia="zh-CN"/>
        </w:rPr>
        <w:t>1.5</w:t>
      </w:r>
      <w:r>
        <w:rPr>
          <w:rFonts w:hint="eastAsia"/>
          <w:color w:val="auto"/>
          <w:sz w:val="24"/>
        </w:rPr>
        <w:t>分，在非“各学科重点刊物”上发表的每篇记</w:t>
      </w:r>
      <w:r>
        <w:rPr>
          <w:rFonts w:hint="eastAsia"/>
          <w:color w:val="auto"/>
          <w:sz w:val="24"/>
          <w:lang w:val="en-US" w:eastAsia="zh-CN"/>
        </w:rPr>
        <w:t>1</w:t>
      </w:r>
      <w:r>
        <w:rPr>
          <w:rFonts w:hint="eastAsia"/>
          <w:color w:val="auto"/>
          <w:sz w:val="24"/>
        </w:rPr>
        <w:t>分。获得省级一等奖及以上的每篇记1</w:t>
      </w:r>
      <w:r>
        <w:rPr>
          <w:color w:val="auto"/>
          <w:sz w:val="24"/>
        </w:rPr>
        <w:t>.5</w:t>
      </w:r>
      <w:r>
        <w:rPr>
          <w:rFonts w:hint="eastAsia"/>
          <w:color w:val="auto"/>
          <w:sz w:val="24"/>
        </w:rPr>
        <w:t>分，二等奖记</w:t>
      </w:r>
      <w:r>
        <w:rPr>
          <w:color w:val="auto"/>
          <w:sz w:val="24"/>
        </w:rPr>
        <w:t>1</w:t>
      </w:r>
      <w:r>
        <w:rPr>
          <w:rFonts w:hint="eastAsia"/>
          <w:color w:val="auto"/>
          <w:sz w:val="24"/>
          <w:lang w:val="en-US" w:eastAsia="zh-CN"/>
        </w:rPr>
        <w:t>.2</w:t>
      </w:r>
      <w:r>
        <w:rPr>
          <w:rFonts w:hint="eastAsia"/>
          <w:color w:val="auto"/>
          <w:sz w:val="24"/>
        </w:rPr>
        <w:t>分，三等奖记</w:t>
      </w:r>
      <w:r>
        <w:rPr>
          <w:rFonts w:hint="eastAsia"/>
          <w:color w:val="auto"/>
          <w:sz w:val="24"/>
          <w:lang w:val="en-US" w:eastAsia="zh-CN"/>
        </w:rPr>
        <w:t>1</w:t>
      </w:r>
      <w:r>
        <w:rPr>
          <w:rFonts w:hint="eastAsia"/>
          <w:color w:val="auto"/>
          <w:sz w:val="24"/>
        </w:rPr>
        <w:t>分；市级一等奖记</w:t>
      </w:r>
      <w:r>
        <w:rPr>
          <w:rFonts w:hint="eastAsia"/>
          <w:color w:val="auto"/>
          <w:sz w:val="24"/>
          <w:lang w:val="en-US" w:eastAsia="zh-CN"/>
        </w:rPr>
        <w:t>1</w:t>
      </w:r>
      <w:r>
        <w:rPr>
          <w:rFonts w:hint="eastAsia"/>
          <w:color w:val="auto"/>
          <w:sz w:val="24"/>
        </w:rPr>
        <w:t>分，二等奖记0.</w:t>
      </w:r>
      <w:r>
        <w:rPr>
          <w:rFonts w:hint="eastAsia"/>
          <w:color w:val="auto"/>
          <w:sz w:val="24"/>
          <w:lang w:val="en-US" w:eastAsia="zh-CN"/>
        </w:rPr>
        <w:t>7</w:t>
      </w:r>
      <w:r>
        <w:rPr>
          <w:rFonts w:hint="eastAsia"/>
          <w:color w:val="auto"/>
          <w:sz w:val="24"/>
        </w:rPr>
        <w:t>分，三等奖记0.</w:t>
      </w:r>
      <w:r>
        <w:rPr>
          <w:rFonts w:hint="eastAsia"/>
          <w:color w:val="auto"/>
          <w:sz w:val="24"/>
          <w:lang w:val="en-US" w:eastAsia="zh-CN"/>
        </w:rPr>
        <w:t>5</w:t>
      </w:r>
      <w:r>
        <w:rPr>
          <w:rFonts w:hint="eastAsia"/>
          <w:color w:val="auto"/>
          <w:sz w:val="24"/>
        </w:rPr>
        <w:t>分；县级一等奖记0.5分，二、三等奖记0.2分。教学设计、教案（学案）、课例报告、教学实录等同于论文记分，教育教学随笔、课件等按同级论文减半记分，《教研与师训》发表的按县一等奖计入论文获奖分。获奖、发表同一内容只记一次最高分，合作论文平均记分。国家、省级论文发表指在正式公开出版发行的专业性刊物上发表。论文获奖指在教育行政部门、教研室、教科所、教育技术中心（电教站）、教育学会（包括一级分会）组织的论文评比中获奖，个人得分计算办法：以相同报考学科为组，（本人累计得分÷第一名累计得分）×5（小数点后保留两位小数）。若第一名累计得分未超过5分的，各人均按</w:t>
      </w:r>
      <w:r>
        <w:rPr>
          <w:rFonts w:hint="eastAsia"/>
          <w:color w:val="auto"/>
          <w:sz w:val="24"/>
          <w:lang w:val="en-US" w:eastAsia="zh-CN"/>
        </w:rPr>
        <w:t>实际</w:t>
      </w:r>
      <w:r>
        <w:rPr>
          <w:rFonts w:hint="eastAsia"/>
          <w:color w:val="auto"/>
          <w:sz w:val="24"/>
        </w:rPr>
        <w:t>得分数记分。</w:t>
      </w:r>
    </w:p>
    <w:p>
      <w:pPr>
        <w:snapToGrid w:val="0"/>
        <w:spacing w:line="420" w:lineRule="exact"/>
        <w:ind w:firstLine="555"/>
        <w:rPr>
          <w:color w:val="auto"/>
          <w:sz w:val="24"/>
        </w:rPr>
      </w:pPr>
      <w:r>
        <w:rPr>
          <w:rFonts w:hint="eastAsia"/>
          <w:color w:val="auto"/>
          <w:sz w:val="24"/>
        </w:rPr>
        <w:t>课题（</w:t>
      </w:r>
      <w:r>
        <w:rPr>
          <w:rFonts w:hint="eastAsia"/>
          <w:color w:val="auto"/>
          <w:sz w:val="24"/>
          <w:lang w:val="en-US" w:eastAsia="zh-CN"/>
        </w:rPr>
        <w:t>3</w:t>
      </w:r>
      <w:r>
        <w:rPr>
          <w:rFonts w:hint="eastAsia"/>
          <w:color w:val="auto"/>
          <w:sz w:val="24"/>
        </w:rPr>
        <w:t>分）：课题获奖按同级论文的4倍记分，合格课题按同级别论文三等奖记分，其中课题执笔人按1/2记分，课题负责人按1/4记分(执笔人、负责人为同一人的记一次分；执笔人、负责人多人合作的，记平均分)。小课题按同级论文的2倍记分。精品课程获奖以同级论文一等奖计分（默认前两位为负责人和执笔人，计分参照课题获奖办法）。最高记</w:t>
      </w:r>
      <w:r>
        <w:rPr>
          <w:rFonts w:hint="eastAsia"/>
          <w:color w:val="auto"/>
          <w:sz w:val="24"/>
          <w:lang w:val="en-US" w:eastAsia="zh-CN"/>
        </w:rPr>
        <w:t>3</w:t>
      </w:r>
      <w:r>
        <w:rPr>
          <w:rFonts w:hint="eastAsia"/>
          <w:color w:val="auto"/>
          <w:sz w:val="24"/>
        </w:rPr>
        <w:t>分。</w:t>
      </w:r>
    </w:p>
    <w:p>
      <w:pPr>
        <w:snapToGrid w:val="0"/>
        <w:spacing w:line="420" w:lineRule="exact"/>
        <w:ind w:firstLine="555"/>
        <w:rPr>
          <w:color w:val="auto"/>
          <w:sz w:val="24"/>
        </w:rPr>
      </w:pPr>
      <w:r>
        <w:rPr>
          <w:rFonts w:hint="eastAsia"/>
          <w:b/>
          <w:color w:val="auto"/>
          <w:sz w:val="24"/>
        </w:rPr>
        <w:t>注：</w:t>
      </w:r>
      <w:r>
        <w:rPr>
          <w:rFonts w:hint="eastAsia"/>
          <w:color w:val="auto"/>
          <w:sz w:val="24"/>
        </w:rPr>
        <w:t>在“各学科重点刊物”上发表的论文记分不封顶，在非“各学科重点刊物”上发表的论文每</w:t>
      </w:r>
      <w:r>
        <w:rPr>
          <w:rFonts w:hint="eastAsia"/>
          <w:color w:val="auto"/>
          <w:sz w:val="24"/>
          <w:lang w:val="en-US" w:eastAsia="zh-CN"/>
        </w:rPr>
        <w:t>学</w:t>
      </w:r>
      <w:r>
        <w:rPr>
          <w:rFonts w:hint="eastAsia"/>
          <w:color w:val="auto"/>
          <w:sz w:val="24"/>
        </w:rPr>
        <w:t>年累计记分</w:t>
      </w:r>
      <w:r>
        <w:rPr>
          <w:rFonts w:hint="eastAsia"/>
          <w:color w:val="auto"/>
          <w:sz w:val="24"/>
          <w:lang w:val="en-US" w:eastAsia="zh-CN"/>
        </w:rPr>
        <w:t>5</w:t>
      </w:r>
      <w:r>
        <w:rPr>
          <w:rFonts w:hint="eastAsia"/>
          <w:color w:val="auto"/>
          <w:sz w:val="24"/>
        </w:rPr>
        <w:t>分封顶（“各学科重点刊物”见县教科所考核细则的界定）。发表论文须与报考学科对口，其中教育管理、德育、班主任论文可记一篇。课题可以与报考学科不对口。</w:t>
      </w:r>
    </w:p>
    <w:p>
      <w:pPr>
        <w:spacing w:line="440" w:lineRule="atLeast"/>
        <w:ind w:firstLine="482" w:firstLineChars="200"/>
        <w:rPr>
          <w:rFonts w:hint="eastAsia" w:ascii="宋体" w:hAnsi="宋体"/>
          <w:b/>
          <w:color w:val="auto"/>
          <w:sz w:val="24"/>
        </w:rPr>
      </w:pPr>
      <w:r>
        <w:rPr>
          <w:rFonts w:hint="eastAsia" w:ascii="宋体" w:hAnsi="宋体"/>
          <w:b/>
          <w:color w:val="auto"/>
          <w:sz w:val="24"/>
        </w:rPr>
        <w:t>二、教师荣誉、业务水平（20分）</w:t>
      </w:r>
    </w:p>
    <w:p>
      <w:pPr>
        <w:spacing w:line="440" w:lineRule="atLeast"/>
        <w:ind w:firstLine="480" w:firstLineChars="200"/>
        <w:rPr>
          <w:rFonts w:hint="eastAsia"/>
          <w:color w:val="auto"/>
          <w:sz w:val="24"/>
        </w:rPr>
      </w:pPr>
      <w:r>
        <w:rPr>
          <w:rFonts w:hint="eastAsia"/>
          <w:color w:val="000000" w:themeColor="text1"/>
          <w:sz w:val="24"/>
          <w14:textFill>
            <w14:solidFill>
              <w14:schemeClr w14:val="tx1"/>
            </w14:solidFill>
          </w14:textFill>
        </w:rPr>
        <w:t>任教以来曾获县级及以上教坛新秀、名师、优秀园丁荣誉称号的记1分。考核期内获县级及以上师德标兵（师德楷模）、名师培养人选、最美教师</w:t>
      </w:r>
      <w:r>
        <w:rPr>
          <w:rFonts w:hint="eastAsia"/>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优秀教师（优秀教育工作者）、</w:t>
      </w:r>
      <w:r>
        <w:rPr>
          <w:rFonts w:hint="eastAsia"/>
          <w:color w:val="000000" w:themeColor="text1"/>
          <w:sz w:val="24"/>
          <w:lang w:val="en-US" w:eastAsia="zh-CN"/>
          <w14:textFill>
            <w14:solidFill>
              <w14:schemeClr w14:val="tx1"/>
            </w14:solidFill>
          </w14:textFill>
        </w:rPr>
        <w:t>满天星教师、</w:t>
      </w:r>
      <w:r>
        <w:rPr>
          <w:rFonts w:hint="eastAsia"/>
          <w:color w:val="000000" w:themeColor="text1"/>
          <w:sz w:val="24"/>
          <w14:textFill>
            <w14:solidFill>
              <w14:schemeClr w14:val="tx1"/>
            </w14:solidFill>
          </w14:textFill>
        </w:rPr>
        <w:t>优秀班主任</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教坛新苗等荣誉的记1分；</w:t>
      </w:r>
      <w:r>
        <w:rPr>
          <w:rFonts w:hint="eastAsia"/>
          <w:color w:val="000000" w:themeColor="text1"/>
          <w:sz w:val="24"/>
          <w14:textFill>
            <w14:solidFill>
              <w14:schemeClr w14:val="tx1"/>
            </w14:solidFill>
          </w14:textFill>
        </w:rPr>
        <w:t>优秀少先队辅导员、课改先进个人、信息工作先进个人等</w:t>
      </w:r>
      <w:r>
        <w:rPr>
          <w:rFonts w:hint="eastAsia"/>
          <w:color w:val="000000" w:themeColor="text1"/>
          <w:sz w:val="24"/>
          <w:lang w:val="en-US" w:eastAsia="zh-CN"/>
          <w14:textFill>
            <w14:solidFill>
              <w14:schemeClr w14:val="tx1"/>
            </w14:solidFill>
          </w14:textFill>
        </w:rPr>
        <w:t>单项荣誉的</w:t>
      </w:r>
      <w:r>
        <w:rPr>
          <w:rFonts w:hint="eastAsia"/>
          <w:color w:val="000000" w:themeColor="text1"/>
          <w:sz w:val="24"/>
          <w14:textFill>
            <w14:solidFill>
              <w14:schemeClr w14:val="tx1"/>
            </w14:solidFill>
          </w14:textFill>
        </w:rPr>
        <w:t>记0.</w:t>
      </w:r>
      <w:r>
        <w:rPr>
          <w:rFonts w:hint="eastAsia"/>
          <w:color w:val="000000" w:themeColor="text1"/>
          <w:sz w:val="24"/>
          <w:lang w:val="en-US" w:eastAsia="zh-CN"/>
          <w14:textFill>
            <w14:solidFill>
              <w14:schemeClr w14:val="tx1"/>
            </w14:solidFill>
          </w14:textFill>
        </w:rPr>
        <w:t>5</w:t>
      </w:r>
      <w:r>
        <w:rPr>
          <w:rFonts w:hint="eastAsia"/>
          <w:color w:val="000000" w:themeColor="text1"/>
          <w:sz w:val="24"/>
          <w14:textFill>
            <w14:solidFill>
              <w14:schemeClr w14:val="tx1"/>
            </w14:solidFill>
          </w14:textFill>
        </w:rPr>
        <w:t>分。</w:t>
      </w:r>
      <w:r>
        <w:rPr>
          <w:rFonts w:hint="eastAsia"/>
          <w:color w:val="auto"/>
          <w:sz w:val="24"/>
        </w:rPr>
        <w:t>同一荣誉只能记一次分，不同荣誉可累计记分，最高记3分。</w:t>
      </w:r>
    </w:p>
    <w:p>
      <w:pPr>
        <w:spacing w:line="400" w:lineRule="exact"/>
        <w:ind w:firstLine="480" w:firstLineChars="200"/>
        <w:rPr>
          <w:rFonts w:hint="eastAsia"/>
          <w:color w:val="auto"/>
          <w:sz w:val="24"/>
        </w:rPr>
      </w:pPr>
      <w:r>
        <w:rPr>
          <w:rFonts w:hint="eastAsia"/>
          <w:color w:val="auto"/>
          <w:sz w:val="24"/>
        </w:rPr>
        <w:t>考核期内，承担教育行政业务部门、教师培训部门组织的公开课、观摩课、讲座任务的(内容必须与报考学科对口，各级各类培训班中被培训人员所承担的任务除外)市级及以上记1分，县级记0.8分。以主办单位文件、证明为准。同一活动或同一内容只能记一次分。本项可累计记分，最高记2分。</w:t>
      </w:r>
    </w:p>
    <w:p>
      <w:pPr>
        <w:spacing w:line="360" w:lineRule="auto"/>
        <w:ind w:firstLine="480" w:firstLineChars="200"/>
        <w:rPr>
          <w:rFonts w:hint="eastAsia" w:ascii="宋体" w:hAnsi="宋体"/>
          <w:color w:val="auto"/>
          <w:sz w:val="24"/>
        </w:rPr>
      </w:pPr>
      <w:r>
        <w:rPr>
          <w:rFonts w:hint="eastAsia" w:ascii="宋体" w:hAnsi="宋体"/>
          <w:color w:val="auto"/>
          <w:sz w:val="24"/>
        </w:rPr>
        <w:t>参加教育行政部门或业务主管部门组织的，并经层层选拔的信息技术学科课堂教学、技术比武省级每次记4分，市级每次记2分，县级每次记1分。教师自制多媒体教育软件获得市级及以上每次记1分，县级每次记0.5分。同一内容只能记一次分。本项可累计记分，最高记15分。</w:t>
      </w:r>
    </w:p>
    <w:p>
      <w:pPr>
        <w:spacing w:line="360" w:lineRule="auto"/>
        <w:rPr>
          <w:rFonts w:hint="eastAsia" w:ascii="宋体" w:hAnsi="宋体"/>
          <w:b/>
          <w:color w:val="auto"/>
          <w:sz w:val="24"/>
        </w:rPr>
      </w:pPr>
      <w:r>
        <w:rPr>
          <w:rFonts w:hint="eastAsia" w:ascii="宋体" w:hAnsi="宋体"/>
          <w:b/>
          <w:color w:val="auto"/>
          <w:sz w:val="24"/>
        </w:rPr>
        <w:t xml:space="preserve">     三、辅导学生（15分）</w:t>
      </w:r>
    </w:p>
    <w:p>
      <w:pPr>
        <w:spacing w:line="360" w:lineRule="auto"/>
        <w:rPr>
          <w:rFonts w:hint="eastAsia" w:ascii="宋体" w:hAnsi="宋体"/>
          <w:color w:val="auto"/>
          <w:sz w:val="24"/>
        </w:rPr>
      </w:pPr>
      <w:r>
        <w:rPr>
          <w:rFonts w:hint="eastAsia" w:ascii="宋体" w:hAnsi="宋体"/>
          <w:color w:val="auto"/>
          <w:sz w:val="24"/>
        </w:rPr>
        <w:t xml:space="preserve">     辅导学生参加教育行政、业务部门组织或批准的各类竞赛，获国家级每人次记2分；省级一等奖每人次记1.5分，二、三等奖每人次记1分；市级一等奖每人次记1分，二、三等奖每人次记0.8分；县级一等奖每人次记0.8分，二等奖每人次记0.5分，三等奖每人次记0.3分。若学生获奖为非现场赛的、非经层层选拔的减半记分。辅导学生竞赛必须与信息技术学科对口，同一比赛按最高记一次分，辅导教师以主办单位文件（学校原始档案记载）为准。多位教师辅导的，记平均得分。最高记15分。</w:t>
      </w:r>
    </w:p>
    <w:p>
      <w:pPr>
        <w:spacing w:line="400" w:lineRule="exact"/>
        <w:ind w:firstLine="482" w:firstLineChars="200"/>
        <w:rPr>
          <w:rFonts w:hint="eastAsia"/>
          <w:b/>
          <w:color w:val="auto"/>
          <w:sz w:val="24"/>
        </w:rPr>
      </w:pPr>
      <w:r>
        <w:rPr>
          <w:rFonts w:hint="eastAsia"/>
          <w:b/>
          <w:color w:val="auto"/>
          <w:sz w:val="24"/>
        </w:rPr>
        <w:t>四、年度考核（5分）</w:t>
      </w:r>
    </w:p>
    <w:p>
      <w:pPr>
        <w:spacing w:line="400" w:lineRule="exact"/>
        <w:ind w:firstLine="480" w:firstLineChars="200"/>
        <w:rPr>
          <w:rFonts w:hint="eastAsia"/>
          <w:color w:val="auto"/>
          <w:sz w:val="24"/>
        </w:rPr>
      </w:pPr>
      <w:r>
        <w:rPr>
          <w:rFonts w:hint="eastAsia"/>
          <w:color w:val="auto"/>
          <w:sz w:val="24"/>
        </w:rPr>
        <w:t>近三年年度考核连续优秀的记5分，两优一合格记4分，一优两合格记3.5分，三年合格的记基本分3分。</w:t>
      </w:r>
    </w:p>
    <w:p>
      <w:pPr>
        <w:spacing w:line="480" w:lineRule="atLeast"/>
        <w:ind w:firstLine="482" w:firstLineChars="200"/>
        <w:rPr>
          <w:rFonts w:hint="eastAsia"/>
          <w:b/>
          <w:color w:val="auto"/>
          <w:sz w:val="24"/>
        </w:rPr>
      </w:pPr>
      <w:r>
        <w:rPr>
          <w:rFonts w:hint="eastAsia"/>
          <w:b/>
          <w:color w:val="auto"/>
          <w:sz w:val="24"/>
        </w:rPr>
        <w:t>五、职务加分（</w:t>
      </w:r>
      <w:r>
        <w:rPr>
          <w:rFonts w:hint="eastAsia"/>
          <w:b/>
          <w:color w:val="auto"/>
          <w:sz w:val="24"/>
          <w:lang w:val="en-US" w:eastAsia="zh-CN"/>
        </w:rPr>
        <w:t>2</w:t>
      </w:r>
      <w:r>
        <w:rPr>
          <w:rFonts w:hint="eastAsia"/>
          <w:b/>
          <w:color w:val="auto"/>
          <w:sz w:val="24"/>
        </w:rPr>
        <w:t>分）</w:t>
      </w:r>
    </w:p>
    <w:p>
      <w:pPr>
        <w:spacing w:line="440" w:lineRule="atLeast"/>
        <w:ind w:firstLine="480" w:firstLineChars="200"/>
        <w:rPr>
          <w:rFonts w:hint="eastAsia"/>
          <w:color w:val="auto"/>
          <w:sz w:val="24"/>
        </w:rPr>
      </w:pPr>
      <w:r>
        <w:rPr>
          <w:rFonts w:hint="eastAsia"/>
          <w:color w:val="auto"/>
          <w:sz w:val="24"/>
        </w:rPr>
        <w:t>1.考核期内担任过中小级教导主任、教科室主任、大队总辅导员等中层干部及以上或与报考学科对口的学科总教研组长一学期及以上的，记</w:t>
      </w:r>
      <w:r>
        <w:rPr>
          <w:rFonts w:hint="eastAsia"/>
          <w:color w:val="auto"/>
          <w:sz w:val="24"/>
          <w:lang w:val="en-US" w:eastAsia="zh-CN"/>
        </w:rPr>
        <w:t>2</w:t>
      </w:r>
      <w:r>
        <w:rPr>
          <w:rFonts w:hint="eastAsia"/>
          <w:color w:val="auto"/>
          <w:sz w:val="24"/>
        </w:rPr>
        <w:t>分（以学校档案或事实调查为依据）。</w:t>
      </w:r>
    </w:p>
    <w:p>
      <w:pPr>
        <w:spacing w:line="440" w:lineRule="atLeast"/>
        <w:ind w:firstLine="480" w:firstLineChars="200"/>
        <w:rPr>
          <w:rFonts w:hint="eastAsia"/>
          <w:color w:val="auto"/>
          <w:sz w:val="24"/>
        </w:rPr>
      </w:pPr>
      <w:r>
        <w:rPr>
          <w:rFonts w:hint="eastAsia"/>
          <w:color w:val="auto"/>
          <w:sz w:val="24"/>
        </w:rPr>
        <w:t>2.县学科核心教研组、县名师工作室、特级教师带徒等成员记</w:t>
      </w:r>
      <w:r>
        <w:rPr>
          <w:rFonts w:hint="eastAsia"/>
          <w:color w:val="auto"/>
          <w:sz w:val="24"/>
          <w:lang w:val="en-US" w:eastAsia="zh-CN"/>
        </w:rPr>
        <w:t>2</w:t>
      </w:r>
      <w:r>
        <w:rPr>
          <w:rFonts w:hint="eastAsia"/>
          <w:color w:val="auto"/>
          <w:sz w:val="24"/>
        </w:rPr>
        <w:t>分（以文件为准）。</w:t>
      </w:r>
    </w:p>
    <w:p>
      <w:pPr>
        <w:spacing w:line="440" w:lineRule="atLeast"/>
        <w:ind w:firstLine="480" w:firstLineChars="200"/>
        <w:rPr>
          <w:rFonts w:hint="eastAsia"/>
          <w:color w:val="auto"/>
          <w:sz w:val="24"/>
        </w:rPr>
      </w:pPr>
      <w:r>
        <w:rPr>
          <w:rFonts w:hint="eastAsia"/>
          <w:color w:val="auto"/>
          <w:sz w:val="24"/>
        </w:rPr>
        <w:t>本项最高记</w:t>
      </w:r>
      <w:r>
        <w:rPr>
          <w:rFonts w:hint="eastAsia"/>
          <w:color w:val="auto"/>
          <w:sz w:val="24"/>
          <w:lang w:val="en-US" w:eastAsia="zh-CN"/>
        </w:rPr>
        <w:t>2</w:t>
      </w:r>
      <w:r>
        <w:rPr>
          <w:rFonts w:hint="eastAsia"/>
          <w:color w:val="auto"/>
          <w:sz w:val="24"/>
        </w:rPr>
        <w:t>分。</w:t>
      </w:r>
    </w:p>
    <w:p>
      <w:pPr>
        <w:spacing w:line="360" w:lineRule="auto"/>
        <w:rPr>
          <w:rFonts w:hint="eastAsia" w:ascii="宋体" w:hAnsi="宋体"/>
          <w:sz w:val="24"/>
        </w:rPr>
      </w:pPr>
      <w:r>
        <w:rPr>
          <w:rFonts w:hint="eastAsia" w:ascii="宋体" w:hAnsi="宋体"/>
          <w:sz w:val="24"/>
        </w:rPr>
        <w:t xml:space="preserve">    </w:t>
      </w:r>
    </w:p>
    <w:p>
      <w:pPr>
        <w:spacing w:line="360" w:lineRule="auto"/>
        <w:ind w:firstLine="482" w:firstLineChars="200"/>
        <w:rPr>
          <w:rFonts w:hint="eastAsia" w:ascii="宋体" w:hAnsi="宋体"/>
          <w:b/>
          <w:sz w:val="24"/>
        </w:rPr>
      </w:pPr>
      <w:r>
        <w:rPr>
          <w:rFonts w:hint="eastAsia" w:ascii="宋体" w:hAnsi="宋体"/>
          <w:b/>
          <w:sz w:val="24"/>
        </w:rPr>
        <w:t>本考核办法由浦阳第一小学负责解释。</w:t>
      </w:r>
    </w:p>
    <w:p>
      <w:pPr>
        <w:spacing w:line="360" w:lineRule="auto"/>
        <w:ind w:firstLine="482" w:firstLineChars="200"/>
        <w:rPr>
          <w:rFonts w:hint="eastAsia" w:ascii="宋体" w:hAnsi="宋体"/>
          <w:b/>
          <w:sz w:val="24"/>
        </w:rPr>
      </w:pPr>
    </w:p>
    <w:p>
      <w:pPr>
        <w:spacing w:line="400" w:lineRule="exact"/>
        <w:jc w:val="right"/>
        <w:rPr>
          <w:sz w:val="24"/>
        </w:rPr>
      </w:pPr>
      <w:r>
        <w:rPr>
          <w:rFonts w:hint="eastAsia"/>
          <w:sz w:val="24"/>
        </w:rPr>
        <w:t>浦江县浦阳第一小学</w:t>
      </w:r>
    </w:p>
    <w:p>
      <w:pPr>
        <w:snapToGrid w:val="0"/>
        <w:spacing w:line="420" w:lineRule="exact"/>
        <w:jc w:val="right"/>
        <w:rPr>
          <w:sz w:val="24"/>
        </w:rPr>
      </w:pPr>
      <w:r>
        <w:rPr>
          <w:sz w:val="24"/>
        </w:rPr>
        <w:t>20</w:t>
      </w:r>
      <w:r>
        <w:rPr>
          <w:rFonts w:hint="eastAsia"/>
          <w:sz w:val="24"/>
        </w:rPr>
        <w:t>2</w:t>
      </w:r>
      <w:r>
        <w:rPr>
          <w:rFonts w:hint="eastAsia"/>
          <w:sz w:val="24"/>
          <w:lang w:val="en-US" w:eastAsia="zh-CN"/>
        </w:rPr>
        <w:t>5</w:t>
      </w:r>
      <w:r>
        <w:rPr>
          <w:sz w:val="24"/>
        </w:rPr>
        <w:t>年</w:t>
      </w:r>
      <w:r>
        <w:rPr>
          <w:rFonts w:hint="eastAsia"/>
          <w:sz w:val="24"/>
          <w:lang w:val="en-US" w:eastAsia="zh-CN"/>
        </w:rPr>
        <w:t>6</w:t>
      </w:r>
      <w:r>
        <w:rPr>
          <w:sz w:val="24"/>
        </w:rPr>
        <w:t>月</w:t>
      </w:r>
      <w:r>
        <w:rPr>
          <w:rFonts w:hint="eastAsia"/>
          <w:sz w:val="24"/>
          <w:lang w:val="en-US" w:eastAsia="zh-CN"/>
        </w:rPr>
        <w:t>4</w:t>
      </w:r>
      <w:r>
        <w:rPr>
          <w:rFonts w:hint="eastAsia"/>
          <w:sz w:val="24"/>
        </w:rPr>
        <w:t>日</w:t>
      </w:r>
    </w:p>
    <w:p/>
    <w:p/>
    <w:p/>
    <w:p/>
    <w:p/>
    <w:p/>
    <w:p>
      <w:pPr>
        <w:rPr>
          <w:rFonts w:hint="eastAsia"/>
          <w:b w:val="0"/>
          <w:bCs w:val="0"/>
          <w:color w:val="auto"/>
          <w:sz w:val="32"/>
          <w:szCs w:val="32"/>
          <w:lang w:val="en-US" w:eastAsia="zh-CN"/>
        </w:rPr>
      </w:pPr>
    </w:p>
    <w:sectPr>
      <w:headerReference r:id="rId3" w:type="default"/>
      <w:footerReference r:id="rId4" w:type="default"/>
      <w:pgSz w:w="11850" w:h="16783"/>
      <w:pgMar w:top="1440" w:right="1080" w:bottom="1440" w:left="1080" w:header="851" w:footer="992" w:gutter="0"/>
      <w:cols w:space="0" w:num="1"/>
      <w:docGrid w:type="lines" w:linePitch="328"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B17295F8-9BC8-4DF6-85B7-77F80FCCB346}"/>
  </w:font>
  <w:font w:name="Arial">
    <w:panose1 w:val="020B0604020202020204"/>
    <w:charset w:val="01"/>
    <w:family w:val="swiss"/>
    <w:pitch w:val="default"/>
    <w:sig w:usb0="E0002AFF" w:usb1="C0007843" w:usb2="00000009" w:usb3="00000000" w:csb0="400001FF" w:csb1="FFFF0000"/>
    <w:embedRegular r:id="rId2" w:fontKey="{4FEB2431-8937-49B3-9674-D52D051A6D46}"/>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FFC506FF-AD13-4212-94D7-AAF7381FE438}"/>
  </w:font>
  <w:font w:name="Symbol">
    <w:panose1 w:val="05050102010706020507"/>
    <w:charset w:val="02"/>
    <w:family w:val="roman"/>
    <w:pitch w:val="default"/>
    <w:sig w:usb0="00000000" w:usb1="00000000" w:usb2="00000000" w:usb3="00000000" w:csb0="80000000" w:csb1="00000000"/>
    <w:embedRegular r:id="rId4" w:fontKey="{10B7BE08-BC9F-4CE6-AF10-DCA0372EBF26}"/>
  </w:font>
  <w:font w:name="Calibri">
    <w:panose1 w:val="020F0502020204030204"/>
    <w:charset w:val="00"/>
    <w:family w:val="swiss"/>
    <w:pitch w:val="default"/>
    <w:sig w:usb0="E00002FF" w:usb1="4000ACFF" w:usb2="00000001" w:usb3="00000000" w:csb0="2000019F" w:csb1="00000000"/>
    <w:embedRegular r:id="rId5" w:fontKey="{251F9067-9A95-4B56-9CEC-64CF5DCC63AE}"/>
  </w:font>
  <w:font w:name="仿宋">
    <w:panose1 w:val="02010609060101010101"/>
    <w:charset w:val="86"/>
    <w:family w:val="auto"/>
    <w:pitch w:val="default"/>
    <w:sig w:usb0="800002BF" w:usb1="38CF7CFA" w:usb2="00000016" w:usb3="00000000" w:csb0="00040001" w:csb1="00000000"/>
    <w:embedRegular r:id="rId6" w:fontKey="{7A6774AC-0F0A-466C-B8D3-93E249F3AEB3}"/>
  </w:font>
  <w:font w:name="微软雅黑">
    <w:panose1 w:val="020B0503020204020204"/>
    <w:charset w:val="86"/>
    <w:family w:val="swiss"/>
    <w:pitch w:val="default"/>
    <w:sig w:usb0="80000287" w:usb1="280F3C52" w:usb2="00000016" w:usb3="00000000" w:csb0="0004001F" w:csb1="00000000"/>
    <w:embedRegular r:id="rId7" w:fontKey="{6D5A4D60-1580-4EC3-A279-14DE3D4564BA}"/>
  </w:font>
  <w:font w:name="叶根友毛笔行书2.0版">
    <w:altName w:val="宋体"/>
    <w:panose1 w:val="00000000000000000000"/>
    <w:charset w:val="86"/>
    <w:family w:val="auto"/>
    <w:pitch w:val="default"/>
    <w:sig w:usb0="00000000" w:usb1="00000000" w:usb2="00000000" w:usb3="00000000" w:csb0="00040000" w:csb1="00000000"/>
    <w:embedRegular r:id="rId8" w:fontKey="{D4A998BD-C56F-4C84-A1F0-388EF826173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mc:AlternateContent>
        <mc:Choice Requires="wps">
          <w:drawing>
            <wp:anchor distT="0" distB="0" distL="114300" distR="114300" simplePos="0" relativeHeight="251660288" behindDoc="0" locked="0" layoutInCell="1" allowOverlap="1">
              <wp:simplePos x="0" y="0"/>
              <wp:positionH relativeFrom="column">
                <wp:posOffset>3749675</wp:posOffset>
              </wp:positionH>
              <wp:positionV relativeFrom="paragraph">
                <wp:posOffset>107950</wp:posOffset>
              </wp:positionV>
              <wp:extent cx="2447925" cy="310515"/>
              <wp:effectExtent l="0" t="0" r="0" b="0"/>
              <wp:wrapNone/>
              <wp:docPr id="54" name="文本框 54"/>
              <wp:cNvGraphicFramePr/>
              <a:graphic xmlns:a="http://schemas.openxmlformats.org/drawingml/2006/main">
                <a:graphicData uri="http://schemas.microsoft.com/office/word/2010/wordprocessingShape">
                  <wps:wsp>
                    <wps:cNvSpPr txBox="1"/>
                    <wps:spPr>
                      <a:xfrm>
                        <a:off x="917575" y="9824720"/>
                        <a:ext cx="2447925" cy="31051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jc w:val="distribute"/>
                            <w:rPr>
                              <w:color w:val="0070C0"/>
                              <w:sz w:val="16"/>
                              <w:szCs w:val="20"/>
                            </w:rPr>
                          </w:pPr>
                          <w:r>
                            <w:rPr>
                              <w:rFonts w:hint="eastAsia" w:ascii="叶根友毛笔行书2.0版" w:hAnsi="叶根友毛笔行书2.0版" w:eastAsia="叶根友毛笔行书2.0版" w:cs="叶根友毛笔行书2.0版"/>
                              <w:color w:val="0070C0"/>
                              <w:sz w:val="20"/>
                              <w:szCs w:val="20"/>
                            </w:rPr>
                            <w:t>童话伴我成长  神笔绘我梦想</w:t>
                          </w:r>
                        </w:p>
                        <w:p>
                          <w:pPr>
                            <w:jc w:val="left"/>
                            <w:rPr>
                              <w:rFonts w:eastAsia="微软雅黑"/>
                              <w:sz w:val="20"/>
                              <w:szCs w:val="22"/>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95.25pt;margin-top:8.5pt;height:24.45pt;width:192.75pt;z-index:251660288;mso-width-relative:page;mso-height-relative:page;" filled="f" stroked="f" coordsize="21600,21600" o:gfxdata="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OtbvE9oAAAAJAQAADwAAAAAAAAAB&#10;ACAAAAAiAAAAZHJzL2Rvd25yZXYueG1sUEsBAhQAFAAAAAgAh07iQJbbAVpHAgAAcwQAAA4AAAAA&#10;AAAAAQAgAAAAKQEAAGRycy9lMm9Eb2MueG1sUEsFBgAAAAAGAAYAWQEAAOIFAAAAAA==&#10;">
              <v:fill on="f" focussize="0,0"/>
              <v:stroke on="f" weight="0.5pt"/>
              <v:imagedata o:title=""/>
              <o:lock v:ext="edit" aspectratio="f"/>
              <v:textbox>
                <w:txbxContent>
                  <w:p>
                    <w:pPr>
                      <w:jc w:val="distribute"/>
                      <w:rPr>
                        <w:color w:val="0070C0"/>
                        <w:sz w:val="16"/>
                        <w:szCs w:val="20"/>
                      </w:rPr>
                    </w:pPr>
                    <w:r>
                      <w:rPr>
                        <w:rFonts w:hint="eastAsia" w:ascii="叶根友毛笔行书2.0版" w:hAnsi="叶根友毛笔行书2.0版" w:eastAsia="叶根友毛笔行书2.0版" w:cs="叶根友毛笔行书2.0版"/>
                        <w:color w:val="0070C0"/>
                        <w:sz w:val="20"/>
                        <w:szCs w:val="20"/>
                      </w:rPr>
                      <w:t>童话伴我成长  神笔绘我梦想</w:t>
                    </w:r>
                  </w:p>
                  <w:p>
                    <w:pPr>
                      <w:jc w:val="left"/>
                      <w:rPr>
                        <w:rFonts w:eastAsia="微软雅黑"/>
                        <w:sz w:val="20"/>
                        <w:szCs w:val="22"/>
                      </w:rPr>
                    </w:pPr>
                  </w:p>
                </w:txbxContent>
              </v:textbox>
            </v:shape>
          </w:pict>
        </mc:Fallback>
      </mc:AlternateContent>
    </w:r>
    <w:r>
      <mc:AlternateContent>
        <mc:Choice Requires="wps">
          <w:drawing>
            <wp:anchor distT="0" distB="0" distL="114300" distR="114300" simplePos="0" relativeHeight="251666432" behindDoc="0" locked="0" layoutInCell="1" allowOverlap="1">
              <wp:simplePos x="0" y="0"/>
              <wp:positionH relativeFrom="column">
                <wp:posOffset>-11430</wp:posOffset>
              </wp:positionH>
              <wp:positionV relativeFrom="paragraph">
                <wp:posOffset>227330</wp:posOffset>
              </wp:positionV>
              <wp:extent cx="3689985" cy="0"/>
              <wp:effectExtent l="0" t="0" r="0" b="0"/>
              <wp:wrapNone/>
              <wp:docPr id="14" name="任意多边形 14"/>
              <wp:cNvGraphicFramePr/>
              <a:graphic xmlns:a="http://schemas.openxmlformats.org/drawingml/2006/main">
                <a:graphicData uri="http://schemas.microsoft.com/office/word/2010/wordprocessingShape">
                  <wps:wsp>
                    <wps:cNvSpPr/>
                    <wps:spPr>
                      <a:xfrm>
                        <a:off x="0" y="0"/>
                        <a:ext cx="3689985" cy="0"/>
                      </a:xfrm>
                      <a:custGeom>
                        <a:avLst/>
                        <a:gdLst>
                          <a:gd name="connisteX0" fmla="*/ 0 w 3495675"/>
                          <a:gd name="connsiteY0" fmla="*/ 0 h 0"/>
                          <a:gd name="connisteX1" fmla="*/ 3495675 w 3495675"/>
                          <a:gd name="connsiteY1" fmla="*/ 0 h 0"/>
                        </a:gdLst>
                        <a:ahLst/>
                        <a:cxnLst>
                          <a:cxn ang="0">
                            <a:pos x="connisteX0" y="connsiteY0"/>
                          </a:cxn>
                          <a:cxn ang="0">
                            <a:pos x="connisteX1" y="connsiteY1"/>
                          </a:cxn>
                        </a:cxnLst>
                        <a:rect l="l" t="t" r="r" b="b"/>
                        <a:pathLst>
                          <a:path w="3495675">
                            <a:moveTo>
                              <a:pt x="0" y="0"/>
                            </a:moveTo>
                            <a:lnTo>
                              <a:pt x="3495675" y="0"/>
                            </a:lnTo>
                          </a:path>
                        </a:pathLst>
                      </a:cu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id="_x0000_s1026" o:spid="_x0000_s1026" o:spt="100" style="position:absolute;left:0pt;margin-left:-0.9pt;margin-top:17.9pt;height:0pt;width:290.55pt;z-index:251666432;mso-width-relative:page;mso-height-relative:page;" filled="f" stroked="t" coordsize="3495675,1" o:gfxdata="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Hqp&#10;eHvVAAAACAEAAA8AAAAAAAAAAQAgAAAAIgAAAGRycy9kb3ducmV2LnhtbFBLAQIUABQAAAAIAIdO&#10;4kD8NjV8mAIAALEFAAAOAAAAAAAAAAEAIAAAACQBAABkcnMvZTJvRG9jLnhtbFBLBQYAAAAABgAG&#10;AFkBAAAuBgAAAAA=&#10;" path="m0,0l3495675,0e">
              <v:path o:connectlocs="0,@0;3689985,@0" o:connectangles="0,0"/>
              <v:fill on="f" focussize="0,0"/>
              <v:stroke weight="1pt" color="#0070C0 [3204]" miterlimit="8" joinstyle="miter"/>
              <v:imagedata o:title=""/>
              <o:lock v:ext="edit" aspectratio="f"/>
            </v:shape>
          </w:pict>
        </mc:Fallback>
      </mc:AlternateContent>
    </w:r>
    <w:r>
      <mc:AlternateContent>
        <mc:Choice Requires="wps">
          <w:drawing>
            <wp:anchor distT="0" distB="0" distL="114300" distR="114300" simplePos="0" relativeHeight="251665408" behindDoc="0" locked="0" layoutInCell="1" allowOverlap="1">
              <wp:simplePos x="0" y="0"/>
              <wp:positionH relativeFrom="column">
                <wp:posOffset>-8890</wp:posOffset>
              </wp:positionH>
              <wp:positionV relativeFrom="paragraph">
                <wp:posOffset>114300</wp:posOffset>
              </wp:positionV>
              <wp:extent cx="6159500" cy="165735"/>
              <wp:effectExtent l="0" t="4445" r="12700" b="20320"/>
              <wp:wrapNone/>
              <wp:docPr id="13" name="任意多边形 13"/>
              <wp:cNvGraphicFramePr/>
              <a:graphic xmlns:a="http://schemas.openxmlformats.org/drawingml/2006/main">
                <a:graphicData uri="http://schemas.microsoft.com/office/word/2010/wordprocessingShape">
                  <wps:wsp>
                    <wps:cNvSpPr/>
                    <wps:spPr>
                      <a:xfrm flipH="1">
                        <a:off x="0" y="0"/>
                        <a:ext cx="6159500" cy="165735"/>
                      </a:xfrm>
                      <a:custGeom>
                        <a:avLst/>
                        <a:gdLst>
                          <a:gd name="connisteX0" fmla="*/ 0 w 5895975"/>
                          <a:gd name="connsiteY0" fmla="*/ 0 h 209550"/>
                          <a:gd name="connisteX1" fmla="*/ 2176145 w 5895975"/>
                          <a:gd name="connsiteY1" fmla="*/ 0 h 209550"/>
                          <a:gd name="connisteX2" fmla="*/ 2442845 w 5895975"/>
                          <a:gd name="connsiteY2" fmla="*/ 209550 h 209550"/>
                          <a:gd name="connisteX3" fmla="*/ 5895975 w 5895975"/>
                          <a:gd name="connsiteY3" fmla="*/ 209550 h 209550"/>
                        </a:gdLst>
                        <a:ahLst/>
                        <a:cxnLst>
                          <a:cxn ang="0">
                            <a:pos x="connisteX0" y="connsiteY0"/>
                          </a:cxn>
                          <a:cxn ang="0">
                            <a:pos x="connisteX1" y="connsiteY1"/>
                          </a:cxn>
                          <a:cxn ang="0">
                            <a:pos x="connisteX2" y="connsiteY2"/>
                          </a:cxn>
                          <a:cxn ang="0">
                            <a:pos x="connisteX3" y="connsiteY3"/>
                          </a:cxn>
                        </a:cxnLst>
                        <a:rect l="l" t="t" r="r" b="b"/>
                        <a:pathLst>
                          <a:path w="5895975" h="209550">
                            <a:moveTo>
                              <a:pt x="0" y="0"/>
                            </a:moveTo>
                            <a:lnTo>
                              <a:pt x="2176145" y="0"/>
                            </a:lnTo>
                            <a:lnTo>
                              <a:pt x="2442845" y="209550"/>
                            </a:lnTo>
                            <a:lnTo>
                              <a:pt x="5895975" y="209550"/>
                            </a:lnTo>
                          </a:path>
                        </a:pathLst>
                      </a:custGeom>
                      <a:ln>
                        <a:solidFill>
                          <a:srgbClr val="0070C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100" style="position:absolute;left:0pt;flip:x;margin-left:-0.7pt;margin-top:9pt;height:13.05pt;width:485pt;z-index:251665408;mso-width-relative:page;mso-height-relative:page;" filled="f" stroked="t" coordsize="5895975,209550" o:gfxdata="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" path="m0,0l2176145,0,2442845,209550,5895975,209550e">
              <v:path o:connectlocs="0,0;2273409,0;2552029,165735;6159500,165735" o:connectangles="0,0,0,0"/>
              <v:fill on="f" focussize="0,0"/>
              <v:stroke weight="0.5pt" color="#0070C0 [3204]" miterlimit="8" joinstyle="miter"/>
              <v:imagedata o:title=""/>
              <o:lock v:ext="edit" aspectratio="f"/>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40" w:lineRule="exact"/>
      <w:jc w:val="distribute"/>
      <w:rPr>
        <w:rFonts w:ascii="微软雅黑" w:hAnsi="微软雅黑" w:eastAsia="微软雅黑" w:cs="微软雅黑"/>
        <w:color w:val="B1A082"/>
        <w:sz w:val="28"/>
        <w:szCs w:val="28"/>
      </w:rPr>
    </w:pPr>
    <w:r>
      <w:rPr>
        <w:sz w:val="18"/>
      </w:rPr>
      <w:drawing>
        <wp:anchor distT="0" distB="0" distL="114300" distR="114300" simplePos="0" relativeHeight="251667456" behindDoc="1" locked="0" layoutInCell="1" allowOverlap="1">
          <wp:simplePos x="0" y="0"/>
          <wp:positionH relativeFrom="column">
            <wp:posOffset>-198755</wp:posOffset>
          </wp:positionH>
          <wp:positionV relativeFrom="paragraph">
            <wp:posOffset>41910</wp:posOffset>
          </wp:positionV>
          <wp:extent cx="344170" cy="353695"/>
          <wp:effectExtent l="0" t="0" r="17780" b="8255"/>
          <wp:wrapNone/>
          <wp:docPr id="53" name="图片 53" descr="C:\Users\Administrator\Desktop\一小校标.jpg一小校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C:\Users\Administrator\Desktop\一小校标.jpg一小校标"/>
                  <pic:cNvPicPr>
                    <a:picLocks noChangeAspect="1"/>
                  </pic:cNvPicPr>
                </pic:nvPicPr>
                <pic:blipFill>
                  <a:blip r:embed="rId1"/>
                  <a:srcRect/>
                  <a:stretch>
                    <a:fillRect/>
                  </a:stretch>
                </pic:blipFill>
                <pic:spPr>
                  <a:xfrm>
                    <a:off x="0" y="0"/>
                    <a:ext cx="344170" cy="353695"/>
                  </a:xfrm>
                  <a:prstGeom prst="rect">
                    <a:avLst/>
                  </a:prstGeom>
                </pic:spPr>
              </pic:pic>
            </a:graphicData>
          </a:graphic>
        </wp:anchor>
      </w:drawing>
    </w:r>
    <w:r>
      <w:rPr>
        <w:sz w:val="20"/>
      </w:rPr>
      <mc:AlternateContent>
        <mc:Choice Requires="wps">
          <w:drawing>
            <wp:anchor distT="0" distB="0" distL="114300" distR="114300" simplePos="0" relativeHeight="251664384" behindDoc="0" locked="0" layoutInCell="1" allowOverlap="1">
              <wp:simplePos x="0" y="0"/>
              <wp:positionH relativeFrom="column">
                <wp:posOffset>142875</wp:posOffset>
              </wp:positionH>
              <wp:positionV relativeFrom="paragraph">
                <wp:posOffset>88265</wp:posOffset>
              </wp:positionV>
              <wp:extent cx="2267585" cy="267970"/>
              <wp:effectExtent l="0" t="0" r="18415" b="17780"/>
              <wp:wrapNone/>
              <wp:docPr id="12" name="文本框 12"/>
              <wp:cNvGraphicFramePr/>
              <a:graphic xmlns:a="http://schemas.openxmlformats.org/drawingml/2006/main">
                <a:graphicData uri="http://schemas.microsoft.com/office/word/2010/wordprocessingShape">
                  <wps:wsp>
                    <wps:cNvSpPr txBox="1"/>
                    <wps:spPr>
                      <a:xfrm>
                        <a:off x="0" y="0"/>
                        <a:ext cx="2267585" cy="267970"/>
                      </a:xfrm>
                      <a:prstGeom prst="rect">
                        <a:avLst/>
                      </a:prstGeom>
                      <a:solidFill>
                        <a:srgbClr val="0070C0"/>
                      </a:solidFill>
                      <a:ln w="6350">
                        <a:noFill/>
                      </a:ln>
                    </wps:spPr>
                    <wps:style>
                      <a:lnRef idx="0">
                        <a:schemeClr val="accent1"/>
                      </a:lnRef>
                      <a:fillRef idx="0">
                        <a:schemeClr val="accent1"/>
                      </a:fillRef>
                      <a:effectRef idx="0">
                        <a:schemeClr val="accent1"/>
                      </a:effectRef>
                      <a:fontRef idx="minor">
                        <a:schemeClr val="dk1"/>
                      </a:fontRef>
                    </wps:style>
                    <wps:txbx>
                      <w:txbxContent>
                        <w:p>
                          <w:pPr>
                            <w:spacing w:line="320" w:lineRule="exact"/>
                            <w:jc w:val="distribute"/>
                            <w:rPr>
                              <w:color w:val="FF3C00"/>
                              <w:sz w:val="20"/>
                              <w:szCs w:val="22"/>
                            </w:rPr>
                          </w:pPr>
                          <w:r>
                            <w:rPr>
                              <w:rFonts w:hint="eastAsia" w:ascii="微软雅黑" w:hAnsi="微软雅黑" w:eastAsia="微软雅黑" w:cs="微软雅黑"/>
                              <w:b/>
                              <w:bCs/>
                              <w:color w:val="FFFFFF" w:themeColor="background1"/>
                              <w:sz w:val="24"/>
                              <w14:textFill>
                                <w14:solidFill>
                                  <w14:schemeClr w14:val="bg1"/>
                                </w14:solidFill>
                              </w14:textFill>
                            </w:rPr>
                            <w:t>浦江县浦阳第一小学 马良小学</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25pt;margin-top:6.95pt;height:21.1pt;width:178.55pt;z-index:251664384;mso-width-relative:page;mso-height-relative:page;" fillcolor="#0070C0" filled="t" stroked="f" coordsize="21600,21600" o:gfxdata="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5LZpUNkAAAAIAQAA&#10;DwAAAAAAAAABACAAAAAiAAAAZHJzL2Rvd25yZXYueG1sUEsBAhQAFAAAAAgAh07iQCoLVIpRAgAA&#10;kQQAAA4AAAAAAAAAAQAgAAAAKAEAAGRycy9lMm9Eb2MueG1sUEsFBgAAAAAGAAYAWQEAAOsFAAAA&#10;AA==&#10;">
              <v:fill on="t" focussize="0,0"/>
              <v:stroke on="f" weight="0.5pt"/>
              <v:imagedata o:title=""/>
              <o:lock v:ext="edit" aspectratio="f"/>
              <v:textbox>
                <w:txbxContent>
                  <w:p>
                    <w:pPr>
                      <w:spacing w:line="320" w:lineRule="exact"/>
                      <w:jc w:val="distribute"/>
                      <w:rPr>
                        <w:color w:val="FF3C00"/>
                        <w:sz w:val="20"/>
                        <w:szCs w:val="22"/>
                      </w:rPr>
                    </w:pPr>
                    <w:r>
                      <w:rPr>
                        <w:rFonts w:hint="eastAsia" w:ascii="微软雅黑" w:hAnsi="微软雅黑" w:eastAsia="微软雅黑" w:cs="微软雅黑"/>
                        <w:b/>
                        <w:bCs/>
                        <w:color w:val="FFFFFF" w:themeColor="background1"/>
                        <w:sz w:val="24"/>
                        <w14:textFill>
                          <w14:solidFill>
                            <w14:schemeClr w14:val="bg1"/>
                          </w14:solidFill>
                        </w14:textFill>
                      </w:rPr>
                      <w:t>浦江县浦阳第一小学 马良小学</w:t>
                    </w:r>
                  </w:p>
                </w:txbxContent>
              </v:textbox>
            </v:shape>
          </w:pict>
        </mc:Fallback>
      </mc:AlternateContent>
    </w:r>
    <w:r>
      <w:rPr>
        <w:sz w:val="18"/>
      </w:rPr>
      <mc:AlternateContent>
        <mc:Choice Requires="wps">
          <w:drawing>
            <wp:anchor distT="0" distB="0" distL="114300" distR="114300" simplePos="0" relativeHeight="251661312" behindDoc="0" locked="0" layoutInCell="1" allowOverlap="1">
              <wp:simplePos x="0" y="0"/>
              <wp:positionH relativeFrom="column">
                <wp:posOffset>259080</wp:posOffset>
              </wp:positionH>
              <wp:positionV relativeFrom="paragraph">
                <wp:posOffset>43180</wp:posOffset>
              </wp:positionV>
              <wp:extent cx="5895975" cy="288925"/>
              <wp:effectExtent l="0" t="6350" r="9525" b="9525"/>
              <wp:wrapNone/>
              <wp:docPr id="6" name="任意多边形 6"/>
              <wp:cNvGraphicFramePr/>
              <a:graphic xmlns:a="http://schemas.openxmlformats.org/drawingml/2006/main">
                <a:graphicData uri="http://schemas.microsoft.com/office/word/2010/wordprocessingShape">
                  <wps:wsp>
                    <wps:cNvSpPr/>
                    <wps:spPr>
                      <a:xfrm>
                        <a:off x="944880" y="634365"/>
                        <a:ext cx="5895975" cy="288925"/>
                      </a:xfrm>
                      <a:custGeom>
                        <a:avLst/>
                        <a:gdLst>
                          <a:gd name="connisteX0" fmla="*/ 0 w 5895975"/>
                          <a:gd name="connsiteY0" fmla="*/ 0 h 209550"/>
                          <a:gd name="connisteX1" fmla="*/ 2176145 w 5895975"/>
                          <a:gd name="connsiteY1" fmla="*/ 0 h 209550"/>
                          <a:gd name="connisteX2" fmla="*/ 2442845 w 5895975"/>
                          <a:gd name="connsiteY2" fmla="*/ 209550 h 209550"/>
                          <a:gd name="connisteX3" fmla="*/ 5895975 w 5895975"/>
                          <a:gd name="connsiteY3" fmla="*/ 209550 h 209550"/>
                        </a:gdLst>
                        <a:ahLst/>
                        <a:cxnLst>
                          <a:cxn ang="0">
                            <a:pos x="connisteX0" y="connsiteY0"/>
                          </a:cxn>
                          <a:cxn ang="0">
                            <a:pos x="connisteX1" y="connsiteY1"/>
                          </a:cxn>
                          <a:cxn ang="0">
                            <a:pos x="connisteX2" y="connsiteY2"/>
                          </a:cxn>
                          <a:cxn ang="0">
                            <a:pos x="connisteX3" y="connsiteY3"/>
                          </a:cxn>
                        </a:cxnLst>
                        <a:rect l="l" t="t" r="r" b="b"/>
                        <a:pathLst>
                          <a:path w="5895975" h="209550">
                            <a:moveTo>
                              <a:pt x="0" y="0"/>
                            </a:moveTo>
                            <a:lnTo>
                              <a:pt x="2176145" y="0"/>
                            </a:lnTo>
                            <a:lnTo>
                              <a:pt x="2442845" y="209550"/>
                            </a:lnTo>
                            <a:lnTo>
                              <a:pt x="5895975" y="209550"/>
                            </a:lnTo>
                          </a:path>
                        </a:pathLst>
                      </a:cu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id="_x0000_s1026" o:spid="_x0000_s1026" o:spt="100" style="position:absolute;left:0pt;margin-left:20.4pt;margin-top:3.4pt;height:22.75pt;width:464.25pt;z-index:251661312;mso-width-relative:page;mso-height-relative:page;" filled="f" stroked="t" coordsize="5895975,209550" o:gfxdata="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" path="m0,0l2176145,0,2442845,209550,5895975,209550e">
              <v:path o:connectlocs="0,0;2176145,0;2442845,288925;5895975,288925" o:connectangles="0,0,0,0"/>
              <v:fill on="f" focussize="0,0"/>
              <v:stroke weight="1pt" color="#0070C0 [3204]" miterlimit="8" joinstyle="miter"/>
              <v:imagedata o:title=""/>
              <o:lock v:ext="edit" aspectratio="f"/>
            </v:shape>
          </w:pict>
        </mc:Fallback>
      </mc:AlternateContent>
    </w:r>
    <w:r>
      <w:rPr>
        <w:sz w:val="18"/>
      </w:rPr>
      <mc:AlternateContent>
        <mc:Choice Requires="wps">
          <w:drawing>
            <wp:anchor distT="0" distB="0" distL="114300" distR="114300" simplePos="0" relativeHeight="251663360" behindDoc="0" locked="0" layoutInCell="1" allowOverlap="1">
              <wp:simplePos x="0" y="0"/>
              <wp:positionH relativeFrom="column">
                <wp:posOffset>308610</wp:posOffset>
              </wp:positionH>
              <wp:positionV relativeFrom="paragraph">
                <wp:posOffset>85090</wp:posOffset>
              </wp:positionV>
              <wp:extent cx="2343150" cy="266700"/>
              <wp:effectExtent l="0" t="0" r="0" b="0"/>
              <wp:wrapNone/>
              <wp:docPr id="11" name="任意多边形 11"/>
              <wp:cNvGraphicFramePr/>
              <a:graphic xmlns:a="http://schemas.openxmlformats.org/drawingml/2006/main">
                <a:graphicData uri="http://schemas.microsoft.com/office/word/2010/wordprocessingShape">
                  <wps:wsp>
                    <wps:cNvSpPr/>
                    <wps:spPr>
                      <a:xfrm>
                        <a:off x="946785" y="657860"/>
                        <a:ext cx="2343150" cy="266700"/>
                      </a:xfrm>
                      <a:custGeom>
                        <a:avLst/>
                        <a:gdLst>
                          <a:gd name="connisteX0" fmla="*/ 135890 w 2301240"/>
                          <a:gd name="connsiteY0" fmla="*/ 1905 h 192405"/>
                          <a:gd name="connisteX1" fmla="*/ 0 w 2301240"/>
                          <a:gd name="connsiteY1" fmla="*/ 1905 h 192405"/>
                          <a:gd name="connisteX2" fmla="*/ 0 w 2301240"/>
                          <a:gd name="connsiteY2" fmla="*/ 192405 h 192405"/>
                          <a:gd name="connisteX3" fmla="*/ 2301240 w 2301240"/>
                          <a:gd name="connsiteY3" fmla="*/ 192405 h 192405"/>
                          <a:gd name="connisteX4" fmla="*/ 2062480 w 2301240"/>
                          <a:gd name="connsiteY4" fmla="*/ 0 h 192405"/>
                          <a:gd name="connisteX5" fmla="*/ 135890 w 2301240"/>
                          <a:gd name="connsiteY5" fmla="*/ 1905 h 192405"/>
                        </a:gdLst>
                        <a:ahLst/>
                        <a:cxnLst>
                          <a:cxn ang="0">
                            <a:pos x="connisteX0" y="connsiteY0"/>
                          </a:cxn>
                          <a:cxn ang="0">
                            <a:pos x="connisteX1" y="connsiteY1"/>
                          </a:cxn>
                          <a:cxn ang="0">
                            <a:pos x="connisteX2" y="connsiteY2"/>
                          </a:cxn>
                          <a:cxn ang="0">
                            <a:pos x="connisteX3" y="connsiteY3"/>
                          </a:cxn>
                          <a:cxn ang="0">
                            <a:pos x="connisteX4" y="connsiteY4"/>
                          </a:cxn>
                          <a:cxn ang="0">
                            <a:pos x="connisteX5" y="connsiteY5"/>
                          </a:cxn>
                        </a:cxnLst>
                        <a:rect l="l" t="t" r="r" b="b"/>
                        <a:pathLst>
                          <a:path w="2301240" h="192405">
                            <a:moveTo>
                              <a:pt x="135890" y="1905"/>
                            </a:moveTo>
                            <a:lnTo>
                              <a:pt x="0" y="1905"/>
                            </a:lnTo>
                            <a:lnTo>
                              <a:pt x="0" y="192405"/>
                            </a:lnTo>
                            <a:lnTo>
                              <a:pt x="2301240" y="192405"/>
                            </a:lnTo>
                            <a:lnTo>
                              <a:pt x="2062480" y="0"/>
                            </a:lnTo>
                            <a:lnTo>
                              <a:pt x="135890" y="1905"/>
                            </a:lnTo>
                            <a:close/>
                          </a:path>
                        </a:pathLst>
                      </a:cu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id="_x0000_s1026" o:spid="_x0000_s1026" o:spt="100" style="position:absolute;left:0pt;margin-left:24.3pt;margin-top:6.7pt;height:21pt;width:184.5pt;z-index:251663360;mso-width-relative:page;mso-height-relative:page;" fillcolor="#0070C0" filled="t" stroked="f" coordsize="2301240,192405" o:gfxdata="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" path="m135890,1905l0,1905,0,192405,2301240,192405,2062480,0,135890,1905xe">
              <v:path o:connectlocs="138364,2640;0,2640;0,266700;2343150,266700;2100041,0;138364,2640" o:connectangles="0,0,0,0,0,0"/>
              <v:fill on="t" focussize="0,0"/>
              <v:stroke on="f" weight="1pt" miterlimit="8" joinstyle="miter"/>
              <v:imagedata o:title=""/>
              <o:lock v:ext="edit" aspectratio="f"/>
            </v:shape>
          </w:pict>
        </mc:Fallback>
      </mc:AlternateContent>
    </w:r>
    <w:r>
      <w:rPr>
        <w:sz w:val="20"/>
      </w:rPr>
      <mc:AlternateContent>
        <mc:Choice Requires="wps">
          <w:drawing>
            <wp:anchor distT="0" distB="0" distL="114300" distR="114300" simplePos="0" relativeHeight="251659264" behindDoc="0" locked="0" layoutInCell="1" allowOverlap="1">
              <wp:simplePos x="0" y="0"/>
              <wp:positionH relativeFrom="column">
                <wp:posOffset>3323590</wp:posOffset>
              </wp:positionH>
              <wp:positionV relativeFrom="paragraph">
                <wp:posOffset>-26035</wp:posOffset>
              </wp:positionV>
              <wp:extent cx="2819400" cy="283210"/>
              <wp:effectExtent l="0" t="0" r="0" b="0"/>
              <wp:wrapNone/>
              <wp:docPr id="52" name="文本框 52"/>
              <wp:cNvGraphicFramePr/>
              <a:graphic xmlns:a="http://schemas.openxmlformats.org/drawingml/2006/main">
                <a:graphicData uri="http://schemas.microsoft.com/office/word/2010/wordprocessingShape">
                  <wps:wsp>
                    <wps:cNvSpPr txBox="1"/>
                    <wps:spPr>
                      <a:xfrm>
                        <a:off x="1419860" y="582295"/>
                        <a:ext cx="2819400" cy="28321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叶根友毛笔行书2.0版" w:hAnsi="叶根友毛笔行书2.0版" w:eastAsia="叶根友毛笔行书2.0版" w:cs="叶根友毛笔行书2.0版"/>
                              <w:b/>
                              <w:bCs/>
                              <w:color w:val="002060"/>
                              <w:szCs w:val="21"/>
                            </w:rPr>
                          </w:pPr>
                          <w:r>
                            <w:rPr>
                              <w:rFonts w:hint="eastAsia" w:ascii="叶根友毛笔行书2.0版" w:hAnsi="叶根友毛笔行书2.0版" w:eastAsia="叶根友毛笔行书2.0版" w:cs="叶根友毛笔行书2.0版"/>
                              <w:b/>
                              <w:bCs/>
                              <w:color w:val="002060"/>
                              <w:szCs w:val="21"/>
                            </w:rPr>
                            <w:t>勤 奋   善 良   勇 敢   智 慧</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61.7pt;margin-top:-2.05pt;height:22.3pt;width:222pt;z-index:251659264;mso-width-relative:page;mso-height-relative:page;" filled="f" stroked="f" coordsize="21600,21600" o:gfxdata="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">
              <v:fill on="f" focussize="0,0"/>
              <v:stroke on="f" weight="0.5pt"/>
              <v:imagedata o:title=""/>
              <o:lock v:ext="edit" aspectratio="f"/>
              <v:textbox>
                <w:txbxContent>
                  <w:p>
                    <w:pPr>
                      <w:rPr>
                        <w:rFonts w:ascii="叶根友毛笔行书2.0版" w:hAnsi="叶根友毛笔行书2.0版" w:eastAsia="叶根友毛笔行书2.0版" w:cs="叶根友毛笔行书2.0版"/>
                        <w:b/>
                        <w:bCs/>
                        <w:color w:val="002060"/>
                        <w:szCs w:val="21"/>
                      </w:rPr>
                    </w:pPr>
                    <w:r>
                      <w:rPr>
                        <w:rFonts w:hint="eastAsia" w:ascii="叶根友毛笔行书2.0版" w:hAnsi="叶根友毛笔行书2.0版" w:eastAsia="叶根友毛笔行书2.0版" w:cs="叶根友毛笔行书2.0版"/>
                        <w:b/>
                        <w:bCs/>
                        <w:color w:val="002060"/>
                        <w:szCs w:val="21"/>
                      </w:rPr>
                      <w:t>勤 奋   善 良   勇 敢   智 慧</w:t>
                    </w:r>
                  </w:p>
                </w:txbxContent>
              </v:textbox>
            </v:shape>
          </w:pict>
        </mc:Fallback>
      </mc:AlternateContent>
    </w:r>
    <w:r>
      <w:rPr>
        <w:rFonts w:hint="eastAsia" w:ascii="微软雅黑" w:hAnsi="微软雅黑" w:eastAsia="微软雅黑" w:cs="微软雅黑"/>
        <w:color w:val="262626" w:themeColor="text1" w:themeTint="D9"/>
        <w:sz w:val="20"/>
        <w:szCs w:val="20"/>
        <w14:textFill>
          <w14:solidFill>
            <w14:schemeClr w14:val="tx1">
              <w14:lumMod w14:val="85000"/>
              <w14:lumOff w14:val="15000"/>
            </w14:schemeClr>
          </w14:solidFill>
        </w14:textFill>
      </w:rPr>
      <w:t xml:space="preserve">                                                      </w:t>
    </w:r>
  </w:p>
  <w:p>
    <w:pPr>
      <w:pStyle w:val="4"/>
    </w:pPr>
    <w:r>
      <mc:AlternateContent>
        <mc:Choice Requires="wps">
          <w:drawing>
            <wp:anchor distT="0" distB="0" distL="114300" distR="114300" simplePos="0" relativeHeight="251662336" behindDoc="0" locked="0" layoutInCell="1" allowOverlap="1">
              <wp:simplePos x="0" y="0"/>
              <wp:positionH relativeFrom="column">
                <wp:posOffset>2646045</wp:posOffset>
              </wp:positionH>
              <wp:positionV relativeFrom="paragraph">
                <wp:posOffset>109220</wp:posOffset>
              </wp:positionV>
              <wp:extent cx="3506470" cy="0"/>
              <wp:effectExtent l="0" t="0" r="0" b="0"/>
              <wp:wrapNone/>
              <wp:docPr id="8" name="任意多边形 8"/>
              <wp:cNvGraphicFramePr/>
              <a:graphic xmlns:a="http://schemas.openxmlformats.org/drawingml/2006/main">
                <a:graphicData uri="http://schemas.microsoft.com/office/word/2010/wordprocessingShape">
                  <wps:wsp>
                    <wps:cNvSpPr/>
                    <wps:spPr>
                      <a:xfrm>
                        <a:off x="3330575" y="791845"/>
                        <a:ext cx="3506470" cy="0"/>
                      </a:xfrm>
                      <a:custGeom>
                        <a:avLst/>
                        <a:gdLst>
                          <a:gd name="connisteX0" fmla="*/ 0 w 3495675"/>
                          <a:gd name="connsiteY0" fmla="*/ 0 h 0"/>
                          <a:gd name="connisteX1" fmla="*/ 3495675 w 3495675"/>
                          <a:gd name="connsiteY1" fmla="*/ 0 h 0"/>
                        </a:gdLst>
                        <a:ahLst/>
                        <a:cxnLst>
                          <a:cxn ang="0">
                            <a:pos x="connisteX0" y="connsiteY0"/>
                          </a:cxn>
                          <a:cxn ang="0">
                            <a:pos x="connisteX1" y="connsiteY1"/>
                          </a:cxn>
                        </a:cxnLst>
                        <a:rect l="l" t="t" r="r" b="b"/>
                        <a:pathLst>
                          <a:path w="3495675">
                            <a:moveTo>
                              <a:pt x="0" y="0"/>
                            </a:moveTo>
                            <a:lnTo>
                              <a:pt x="3495675" y="0"/>
                            </a:lnTo>
                          </a:path>
                        </a:pathLst>
                      </a:custGeom>
                      <a:no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w:pict>
            <v:shape id="_x0000_s1026" o:spid="_x0000_s1026" o:spt="100" style="position:absolute;left:0pt;margin-left:208.35pt;margin-top:8.6pt;height:0pt;width:276.1pt;z-index:251662336;mso-width-relative:page;mso-height-relative:page;" filled="f" stroked="t" coordsize="3495675,1" o:gfxdata="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" path="m0,0l3495675,0e">
              <v:path o:connectlocs="0,@0;3506470,@0" o:connectangles="0,0"/>
              <v:fill on="f" focussize="0,0"/>
              <v:stroke weight="1pt" color="#00B0F0 [3204]" miterlimit="8" joinstyle="miter"/>
              <v:imagedata o:title=""/>
              <o:lock v:ext="edit" aspectratio="f"/>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embedTrueTypeFonts/>
  <w:bordersDoNotSurroundHeader w:val="1"/>
  <w:bordersDoNotSurroundFooter w:val="1"/>
  <w:attachedTemplate r:id="rId1"/>
  <w:documentProtection w:enforcement="0"/>
  <w:defaultTabStop w:val="420"/>
  <w:drawingGridVerticalSpacing w:val="164"/>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TM0MGFlODhjNWUyYTQ5Yjg3ZjU1NzhhMzkyMjdhYWIifQ=="/>
  </w:docVars>
  <w:rsids>
    <w:rsidRoot w:val="08E815C7"/>
    <w:rsid w:val="00086164"/>
    <w:rsid w:val="00094F67"/>
    <w:rsid w:val="000B7EAC"/>
    <w:rsid w:val="00173CAD"/>
    <w:rsid w:val="00214D78"/>
    <w:rsid w:val="00262384"/>
    <w:rsid w:val="004B48AA"/>
    <w:rsid w:val="004C1C5C"/>
    <w:rsid w:val="004F7E52"/>
    <w:rsid w:val="005A7B55"/>
    <w:rsid w:val="00663937"/>
    <w:rsid w:val="006757A9"/>
    <w:rsid w:val="007D02B7"/>
    <w:rsid w:val="0082161A"/>
    <w:rsid w:val="008D0B7E"/>
    <w:rsid w:val="008E46A3"/>
    <w:rsid w:val="00944EB0"/>
    <w:rsid w:val="00972EB6"/>
    <w:rsid w:val="00990CDA"/>
    <w:rsid w:val="009B6F34"/>
    <w:rsid w:val="009C457D"/>
    <w:rsid w:val="009F5369"/>
    <w:rsid w:val="00A019A1"/>
    <w:rsid w:val="00A82140"/>
    <w:rsid w:val="00B015C4"/>
    <w:rsid w:val="00BA7A25"/>
    <w:rsid w:val="00BB0017"/>
    <w:rsid w:val="00C04899"/>
    <w:rsid w:val="00D41A16"/>
    <w:rsid w:val="00D93952"/>
    <w:rsid w:val="00E50C4F"/>
    <w:rsid w:val="00E65066"/>
    <w:rsid w:val="00E949E5"/>
    <w:rsid w:val="00EC4245"/>
    <w:rsid w:val="00F4518B"/>
    <w:rsid w:val="00F64867"/>
    <w:rsid w:val="00FA0D73"/>
    <w:rsid w:val="01A06E9D"/>
    <w:rsid w:val="02BD239A"/>
    <w:rsid w:val="033169AF"/>
    <w:rsid w:val="03885E8F"/>
    <w:rsid w:val="04BF478B"/>
    <w:rsid w:val="08E815C7"/>
    <w:rsid w:val="0B942071"/>
    <w:rsid w:val="0C3B02B7"/>
    <w:rsid w:val="0C851169"/>
    <w:rsid w:val="0D0C3638"/>
    <w:rsid w:val="0D1D3A97"/>
    <w:rsid w:val="1191235E"/>
    <w:rsid w:val="11D32976"/>
    <w:rsid w:val="127F6CE6"/>
    <w:rsid w:val="1409144A"/>
    <w:rsid w:val="14E6501B"/>
    <w:rsid w:val="150B2427"/>
    <w:rsid w:val="152534E9"/>
    <w:rsid w:val="166B13D0"/>
    <w:rsid w:val="16BE3BF5"/>
    <w:rsid w:val="1837167A"/>
    <w:rsid w:val="18CD6371"/>
    <w:rsid w:val="19351A4B"/>
    <w:rsid w:val="19A850DC"/>
    <w:rsid w:val="1BDF7911"/>
    <w:rsid w:val="1C0629BC"/>
    <w:rsid w:val="1C2344FA"/>
    <w:rsid w:val="1D12234E"/>
    <w:rsid w:val="1F8B07F9"/>
    <w:rsid w:val="226971BB"/>
    <w:rsid w:val="22885BF9"/>
    <w:rsid w:val="24DA0B35"/>
    <w:rsid w:val="25BC474A"/>
    <w:rsid w:val="26A529AA"/>
    <w:rsid w:val="273A63A3"/>
    <w:rsid w:val="27CB6172"/>
    <w:rsid w:val="2A4B491B"/>
    <w:rsid w:val="2B7663F5"/>
    <w:rsid w:val="2BA56CDA"/>
    <w:rsid w:val="2D045C82"/>
    <w:rsid w:val="2EFB76DD"/>
    <w:rsid w:val="2FE53B49"/>
    <w:rsid w:val="32A50AA2"/>
    <w:rsid w:val="32E71A40"/>
    <w:rsid w:val="37977E1F"/>
    <w:rsid w:val="38710670"/>
    <w:rsid w:val="3A916DA7"/>
    <w:rsid w:val="3CD613E9"/>
    <w:rsid w:val="3EBB4348"/>
    <w:rsid w:val="3ED66CAE"/>
    <w:rsid w:val="405F1351"/>
    <w:rsid w:val="40692574"/>
    <w:rsid w:val="4081722B"/>
    <w:rsid w:val="40997B3C"/>
    <w:rsid w:val="424C5CAA"/>
    <w:rsid w:val="42C804FF"/>
    <w:rsid w:val="433B01F8"/>
    <w:rsid w:val="43543068"/>
    <w:rsid w:val="44261BC9"/>
    <w:rsid w:val="44DD0E3B"/>
    <w:rsid w:val="46120CCE"/>
    <w:rsid w:val="46FF4E74"/>
    <w:rsid w:val="47733809"/>
    <w:rsid w:val="48CC454A"/>
    <w:rsid w:val="48E64762"/>
    <w:rsid w:val="493E2245"/>
    <w:rsid w:val="495851E9"/>
    <w:rsid w:val="4C9D782D"/>
    <w:rsid w:val="4DE222F9"/>
    <w:rsid w:val="4E4165AB"/>
    <w:rsid w:val="4F0A6CD0"/>
    <w:rsid w:val="4FD35A96"/>
    <w:rsid w:val="4FF56B17"/>
    <w:rsid w:val="504B30B2"/>
    <w:rsid w:val="505D7731"/>
    <w:rsid w:val="50A464E8"/>
    <w:rsid w:val="52D829E4"/>
    <w:rsid w:val="59173829"/>
    <w:rsid w:val="59213594"/>
    <w:rsid w:val="5BFC635C"/>
    <w:rsid w:val="5DA84945"/>
    <w:rsid w:val="5E0B52B6"/>
    <w:rsid w:val="5E257D86"/>
    <w:rsid w:val="60C45590"/>
    <w:rsid w:val="61E35EF6"/>
    <w:rsid w:val="622F0267"/>
    <w:rsid w:val="64A522D2"/>
    <w:rsid w:val="664669A0"/>
    <w:rsid w:val="690253F2"/>
    <w:rsid w:val="6A195BE5"/>
    <w:rsid w:val="6A2C3B47"/>
    <w:rsid w:val="6AF522A3"/>
    <w:rsid w:val="6CDC0624"/>
    <w:rsid w:val="70153D32"/>
    <w:rsid w:val="70EB1FD4"/>
    <w:rsid w:val="73957B9E"/>
    <w:rsid w:val="73C009BF"/>
    <w:rsid w:val="75C200E7"/>
    <w:rsid w:val="762D1373"/>
    <w:rsid w:val="76DF266D"/>
    <w:rsid w:val="77A86F03"/>
    <w:rsid w:val="77CB0E43"/>
    <w:rsid w:val="77F7220C"/>
    <w:rsid w:val="78641703"/>
    <w:rsid w:val="7BDF7E15"/>
    <w:rsid w:val="7BF817F1"/>
    <w:rsid w:val="7C7A4BE6"/>
    <w:rsid w:val="7CF0302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uiPriority="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nhideWhenUsed="0" w:uiPriority="0" w:semiHidden="0" w:name="table of authorities"/>
    <w:lsdException w:uiPriority="0" w:name="macro"/>
    <w:lsdException w:uiPriority="0" w:name="toa heading"/>
    <w:lsdException w:unhideWhenUsed="0" w:uiPriority="0" w:semiHidden="0" w:name="List"/>
    <w:lsdException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iPriority="0" w:name="Body Text Indent"/>
    <w:lsdException w:uiPriority="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nhideWhenUsed="0" w:uiPriority="0"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qFormat="1" w:unhideWhenUsed="0" w:uiPriority="0" w:semiHidden="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7">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Plain Text"/>
    <w:basedOn w:val="1"/>
    <w:link w:val="9"/>
    <w:qFormat/>
    <w:uiPriority w:val="0"/>
    <w:rPr>
      <w:rFonts w:ascii="宋体" w:hAnsi="Courier New"/>
    </w:r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table" w:styleId="6">
    <w:name w:val="Table Grid"/>
    <w:basedOn w:val="5"/>
    <w:qFormat/>
    <w:uiPriority w:val="39"/>
    <w:rPr>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8">
    <w:name w:val="Hyperlink"/>
    <w:basedOn w:val="7"/>
    <w:qFormat/>
    <w:uiPriority w:val="0"/>
    <w:rPr>
      <w:color w:val="0000FF"/>
      <w:u w:val="single"/>
    </w:rPr>
  </w:style>
  <w:style w:type="character" w:customStyle="1" w:styleId="9">
    <w:name w:val="纯文本 字符"/>
    <w:basedOn w:val="7"/>
    <w:link w:val="2"/>
    <w:qFormat/>
    <w:uiPriority w:val="0"/>
    <w:rPr>
      <w:rFonts w:ascii="宋体" w:hAnsi="Courier New"/>
      <w:kern w:val="2"/>
      <w:sz w:val="21"/>
      <w:szCs w:val="24"/>
    </w:rPr>
  </w:style>
  <w:style w:type="paragraph" w:styleId="10">
    <w:name w:val="List Paragraph"/>
    <w:basedOn w:val="1"/>
    <w:unhideWhenUsed/>
    <w:qFormat/>
    <w:uiPriority w:val="99"/>
    <w:pPr>
      <w:ind w:firstLine="420" w:firstLineChars="200"/>
    </w:p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AppData\Roaming\kingsoft\office6\templates\download\737361f9-99d0-2415-31d9-c8a4755ff805\&#39029;&#30473;&#39029;&#33050;.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页眉页脚</Template>
  <Pages>4</Pages>
  <Words>3627</Words>
  <Characters>3769</Characters>
  <Lines>27</Lines>
  <Paragraphs>7</Paragraphs>
  <TotalTime>0</TotalTime>
  <ScaleCrop>false</ScaleCrop>
  <LinksUpToDate>false</LinksUpToDate>
  <CharactersWithSpaces>3783</CharactersWithSpaces>
  <Application>WPS Office_11.8.2.11734_F1E327BC-269C-435d-A152-05C5408002CA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2020-04-15T08:12:00Z</dcterms:created>
  <dc:creator>阿丹</dc:creator>
  <cp:lastModifiedBy>洪诞送</cp:lastModifiedBy>
  <cp:lastPrinted>2025-06-04T06:52:00Z</cp:lastPrinted>
  <dcterms:modified xsi:type="dcterms:W3CDTF">2025-06-04T09:01:07Z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2052-11.8.2.11734</vt:lpwstr>
  </property>
  <property fmtid="{D5CDD505-2E9C-101B-9397-08002B2CF9AE}" pid="3" name="ICV">
    <vt:lpwstr>504D3CFB5C164189811E246BDCCAF2C0</vt:lpwstr>
  </property>
  <property fmtid="{D5CDD505-2E9C-101B-9397-08002B2CF9AE}" pid="4" name="KSOTemplateDocerSaveRecord">
    <vt:lpwstr>eyJoZGlkIjoiMTBmNjIyNTBkYjExYTRhMDZkOTZhOTYyZWNiMmJhYjEiLCJ1c2VySWQiOiI0MzM0MjYyMzQifQ==</vt:lpwstr>
  </property>
</Properties>
</file>