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0957B">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方正小标宋简体" w:cs="Times New Roman"/>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 xml:space="preserve">附件1                  </w:t>
      </w:r>
      <w:r>
        <w:rPr>
          <w:rFonts w:hint="default" w:ascii="Times New Roman" w:hAnsi="Times New Roman" w:eastAsia="方正小标宋简体" w:cs="Times New Roman"/>
          <w:color w:val="000000" w:themeColor="text1"/>
          <w:sz w:val="32"/>
          <w:szCs w:val="32"/>
          <w:highlight w:val="none"/>
          <w:lang w:eastAsia="zh-CN"/>
          <w14:textFill>
            <w14:solidFill>
              <w14:schemeClr w14:val="tx1"/>
            </w14:solidFill>
          </w14:textFill>
        </w:rPr>
        <w:t>武义县教育系统赴安徽师范大学</w:t>
      </w:r>
      <w:r>
        <w:rPr>
          <w:rFonts w:hint="default" w:ascii="Times New Roman" w:hAnsi="Times New Roman" w:eastAsia="方正小标宋简体" w:cs="Times New Roman"/>
          <w:color w:val="000000" w:themeColor="text1"/>
          <w:sz w:val="32"/>
          <w:szCs w:val="32"/>
          <w:highlight w:val="none"/>
          <w14:textFill>
            <w14:solidFill>
              <w14:schemeClr w14:val="tx1"/>
            </w14:solidFill>
          </w14:textFill>
        </w:rPr>
        <w:t>招聘计划</w:t>
      </w:r>
    </w:p>
    <w:tbl>
      <w:tblPr>
        <w:tblStyle w:val="7"/>
        <w:tblW w:w="15337" w:type="dxa"/>
        <w:tblInd w:w="-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2061"/>
        <w:gridCol w:w="656"/>
        <w:gridCol w:w="690"/>
        <w:gridCol w:w="5771"/>
        <w:gridCol w:w="5475"/>
      </w:tblGrid>
      <w:tr w14:paraId="018C4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684" w:type="dxa"/>
            <w:vMerge w:val="restart"/>
            <w:tcBorders>
              <w:tl2br w:val="nil"/>
              <w:tr2bl w:val="nil"/>
            </w:tcBorders>
            <w:noWrap/>
            <w:vAlign w:val="center"/>
          </w:tcPr>
          <w:p w14:paraId="726C9819">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招聘学段</w:t>
            </w:r>
          </w:p>
        </w:tc>
        <w:tc>
          <w:tcPr>
            <w:tcW w:w="2061" w:type="dxa"/>
            <w:vMerge w:val="restart"/>
            <w:tcBorders>
              <w:tl2br w:val="nil"/>
              <w:tr2bl w:val="nil"/>
            </w:tcBorders>
            <w:noWrap/>
            <w:vAlign w:val="center"/>
          </w:tcPr>
          <w:p w14:paraId="52C52CC0">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招聘学校</w:t>
            </w:r>
          </w:p>
        </w:tc>
        <w:tc>
          <w:tcPr>
            <w:tcW w:w="656" w:type="dxa"/>
            <w:vMerge w:val="restart"/>
            <w:tcBorders>
              <w:tl2br w:val="nil"/>
              <w:tr2bl w:val="nil"/>
            </w:tcBorders>
            <w:noWrap/>
            <w:vAlign w:val="center"/>
          </w:tcPr>
          <w:p w14:paraId="08E45304">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招聘学科</w:t>
            </w:r>
          </w:p>
        </w:tc>
        <w:tc>
          <w:tcPr>
            <w:tcW w:w="690" w:type="dxa"/>
            <w:vMerge w:val="restart"/>
            <w:tcBorders>
              <w:tl2br w:val="nil"/>
              <w:tr2bl w:val="nil"/>
            </w:tcBorders>
            <w:noWrap/>
            <w:vAlign w:val="center"/>
          </w:tcPr>
          <w:p w14:paraId="17829B68">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招聘计划</w:t>
            </w:r>
          </w:p>
        </w:tc>
        <w:tc>
          <w:tcPr>
            <w:tcW w:w="11246" w:type="dxa"/>
            <w:gridSpan w:val="2"/>
            <w:tcBorders>
              <w:tl2br w:val="nil"/>
              <w:tr2bl w:val="nil"/>
            </w:tcBorders>
            <w:noWrap/>
            <w:vAlign w:val="center"/>
          </w:tcPr>
          <w:p w14:paraId="0C525247">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招聘条件</w:t>
            </w:r>
          </w:p>
        </w:tc>
      </w:tr>
      <w:tr w14:paraId="57F5F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684" w:type="dxa"/>
            <w:vMerge w:val="continue"/>
            <w:tcBorders>
              <w:tl2br w:val="nil"/>
              <w:tr2bl w:val="nil"/>
            </w:tcBorders>
            <w:noWrap/>
            <w:vAlign w:val="center"/>
          </w:tcPr>
          <w:p w14:paraId="124574B4">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2061" w:type="dxa"/>
            <w:vMerge w:val="continue"/>
            <w:tcBorders>
              <w:tl2br w:val="nil"/>
              <w:tr2bl w:val="nil"/>
            </w:tcBorders>
            <w:noWrap/>
            <w:vAlign w:val="center"/>
          </w:tcPr>
          <w:p w14:paraId="2089D7BD">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656" w:type="dxa"/>
            <w:vMerge w:val="continue"/>
            <w:tcBorders>
              <w:tl2br w:val="nil"/>
              <w:tr2bl w:val="nil"/>
            </w:tcBorders>
            <w:noWrap/>
            <w:vAlign w:val="center"/>
          </w:tcPr>
          <w:p w14:paraId="0C71D363">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690" w:type="dxa"/>
            <w:vMerge w:val="continue"/>
            <w:tcBorders>
              <w:tl2br w:val="nil"/>
              <w:tr2bl w:val="nil"/>
            </w:tcBorders>
            <w:noWrap/>
            <w:vAlign w:val="center"/>
          </w:tcPr>
          <w:p w14:paraId="74A4AC3A">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5771" w:type="dxa"/>
            <w:tcBorders>
              <w:tl2br w:val="nil"/>
              <w:tr2bl w:val="nil"/>
            </w:tcBorders>
            <w:noWrap/>
            <w:vAlign w:val="center"/>
          </w:tcPr>
          <w:p w14:paraId="0F5CCB7C">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highlight w:val="none"/>
                <w:u w:val="none"/>
                <w:lang w:val="en-US" w:eastAsia="zh-CN" w:bidi="ar"/>
                <w14:textFill>
                  <w14:solidFill>
                    <w14:schemeClr w14:val="tx1"/>
                  </w14:solidFill>
                </w14:textFill>
              </w:rPr>
              <w:t>2025届普通高校毕业生</w:t>
            </w:r>
          </w:p>
        </w:tc>
        <w:tc>
          <w:tcPr>
            <w:tcW w:w="5475" w:type="dxa"/>
            <w:tcBorders>
              <w:tl2br w:val="nil"/>
              <w:tr2bl w:val="nil"/>
            </w:tcBorders>
            <w:noWrap/>
            <w:vAlign w:val="center"/>
          </w:tcPr>
          <w:p w14:paraId="08607C39">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0"/>
                <w:szCs w:val="20"/>
                <w:highlight w:val="none"/>
                <w:u w:val="none"/>
                <w:lang w:val="en-US" w:eastAsia="zh-CN" w:bidi="ar"/>
                <w14:textFill>
                  <w14:solidFill>
                    <w14:schemeClr w14:val="tx1"/>
                  </w14:solidFill>
                </w14:textFill>
              </w:rPr>
              <w:t>优秀教师</w:t>
            </w:r>
          </w:p>
        </w:tc>
      </w:tr>
      <w:tr w14:paraId="3E3C6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684" w:type="dxa"/>
            <w:vMerge w:val="restart"/>
            <w:tcBorders>
              <w:tl2br w:val="nil"/>
              <w:tr2bl w:val="nil"/>
            </w:tcBorders>
            <w:noWrap/>
            <w:vAlign w:val="center"/>
          </w:tcPr>
          <w:p w14:paraId="47C2AF6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高中</w:t>
            </w:r>
          </w:p>
        </w:tc>
        <w:tc>
          <w:tcPr>
            <w:tcW w:w="2061" w:type="dxa"/>
            <w:vMerge w:val="restart"/>
            <w:tcBorders>
              <w:tl2br w:val="nil"/>
              <w:tr2bl w:val="nil"/>
            </w:tcBorders>
            <w:noWrap/>
            <w:vAlign w:val="center"/>
          </w:tcPr>
          <w:p w14:paraId="7C6E5A8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浙江省武义第二中学</w:t>
            </w:r>
          </w:p>
        </w:tc>
        <w:tc>
          <w:tcPr>
            <w:tcW w:w="656" w:type="dxa"/>
            <w:tcBorders>
              <w:tl2br w:val="nil"/>
              <w:tr2bl w:val="nil"/>
            </w:tcBorders>
            <w:noWrap/>
            <w:vAlign w:val="center"/>
          </w:tcPr>
          <w:p w14:paraId="4C4401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数学</w:t>
            </w:r>
          </w:p>
        </w:tc>
        <w:tc>
          <w:tcPr>
            <w:tcW w:w="690" w:type="dxa"/>
            <w:tcBorders>
              <w:tl2br w:val="nil"/>
              <w:tr2bl w:val="nil"/>
            </w:tcBorders>
            <w:noWrap/>
            <w:vAlign w:val="center"/>
          </w:tcPr>
          <w:p w14:paraId="2CD507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restart"/>
            <w:tcBorders>
              <w:tl2br w:val="nil"/>
              <w:tr2bl w:val="nil"/>
            </w:tcBorders>
            <w:noWrap/>
            <w:vAlign w:val="center"/>
          </w:tcPr>
          <w:p w14:paraId="4F4DA366">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一、年龄要求</w:t>
            </w:r>
          </w:p>
          <w:p w14:paraId="2D58BEDB">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5</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周岁及以下（19</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89</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月以后出生）</w:t>
            </w:r>
          </w:p>
          <w:p w14:paraId="0214813D">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二、学历学位</w:t>
            </w:r>
          </w:p>
          <w:p w14:paraId="078B0F34">
            <w:pPr>
              <w:keepNext w:val="0"/>
              <w:keepLines w:val="0"/>
              <w:widowControl/>
              <w:suppressLineNumbers w:val="0"/>
              <w:jc w:val="left"/>
              <w:textAlignment w:val="cente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本科</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及以上学历</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、学士及以上学位</w:t>
            </w:r>
          </w:p>
          <w:p w14:paraId="5A3AA428">
            <w:pPr>
              <w:keepNext w:val="0"/>
              <w:keepLines w:val="0"/>
              <w:widowControl/>
              <w:suppressLineNumbers w:val="0"/>
              <w:jc w:val="left"/>
              <w:textAlignment w:val="center"/>
              <w:rPr>
                <w:rFonts w:hint="eastAsia"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三、专业要求</w:t>
            </w:r>
          </w:p>
          <w:p w14:paraId="17D84C5B">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须满足以下专业要求之一：</w:t>
            </w:r>
          </w:p>
          <w:p w14:paraId="2EC3C3D2">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研究生的研究方向须与岗位专业需求一致，本科或研究生阶段为师范类专业；</w:t>
            </w:r>
          </w:p>
          <w:p w14:paraId="082FAE0E">
            <w:pPr>
              <w:keepNext w:val="0"/>
              <w:keepLines w:val="0"/>
              <w:widowControl/>
              <w:suppressLineNumbers w:val="0"/>
              <w:jc w:val="left"/>
              <w:textAlignment w:val="cente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国家“双一流”建设高校对应建设学科本科及以上毕业生，所学专业与应聘学科需求专业相近或相似（结合教育部普通高等教育专业目录及招聘岗位实际予以综合认定）。</w:t>
            </w:r>
          </w:p>
          <w:p w14:paraId="21A43FE9">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.师范类</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本科毕业生，所学专业须与应聘学科</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一致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，且就</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读专业为特控线录取，外省毕业生以浙江省对应年份对应专业的录取批次为参照。</w:t>
            </w:r>
          </w:p>
          <w:p w14:paraId="24467196">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4</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.国（境）外毕业生就读学校须是位列ARWU、THE、U.S.News、QS世界大学最新综合排名前100的高校，所学专业和毕业时间等信息以教育部留学服务中心出具的认证书为准，且本科或研究生阶段为师范类专业。</w:t>
            </w:r>
          </w:p>
          <w:p w14:paraId="78BF22FE">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四、</w:t>
            </w: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学业成绩要求</w:t>
            </w:r>
          </w:p>
          <w:p w14:paraId="4EF53668">
            <w:pPr>
              <w:keepNext w:val="0"/>
              <w:keepLines w:val="0"/>
              <w:widowControl/>
              <w:suppressLineNumbers w:val="0"/>
              <w:jc w:val="left"/>
              <w:textAlignment w:val="cente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本科生学习成绩要求前三年综合成绩在本专业年级排名前</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6</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w:t>
            </w:r>
          </w:p>
          <w:p w14:paraId="6FCE81B1">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2.浙江师范大学初阳学院、杭州师范大学经亨颐学院（含经亨颐实验班）师范类本科毕业生、国家“双一流”建设高校本科毕业生</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要求前三年综合成绩在本专业年级排名前</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8</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w:t>
            </w:r>
          </w:p>
          <w:p w14:paraId="35206F8E">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研究生不作成绩要求。</w:t>
            </w:r>
          </w:p>
        </w:tc>
        <w:tc>
          <w:tcPr>
            <w:tcW w:w="5475" w:type="dxa"/>
            <w:vMerge w:val="restart"/>
            <w:tcBorders>
              <w:tl2br w:val="nil"/>
              <w:tr2bl w:val="nil"/>
            </w:tcBorders>
            <w:noWrap/>
            <w:vAlign w:val="center"/>
          </w:tcPr>
          <w:p w14:paraId="03BD0E6D">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一、年龄要求</w:t>
            </w:r>
          </w:p>
          <w:p w14:paraId="2B61EFFA">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具有硕士研究生学历的教师，年龄要求在35周岁以下（198</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9</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月以后出生）；</w:t>
            </w:r>
          </w:p>
          <w:p w14:paraId="2A4D288C">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具有博士研究生学历或中小学高级教师及以上职称的教师，年龄要求在45周岁以下（19</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79</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月以后出生）。</w:t>
            </w:r>
          </w:p>
          <w:p w14:paraId="6F14A93A">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二、学历学位及职称要求</w:t>
            </w:r>
          </w:p>
          <w:p w14:paraId="27D5C946">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具有硕士研究生及以上学历或中小学高级教师及以上职称。</w:t>
            </w:r>
          </w:p>
          <w:p w14:paraId="01766DDA">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三、其他要求</w:t>
            </w:r>
          </w:p>
          <w:p w14:paraId="47F7976D">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1.曾获得以下荣誉称号之一：</w:t>
            </w:r>
          </w:p>
          <w:p w14:paraId="0418729D">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（1）全国模范教师</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全国优秀教师、全国优秀班主任、全国教书育人楷模、省特级教师、省教学名师等相当专业荣誉的教师。</w:t>
            </w:r>
          </w:p>
          <w:p w14:paraId="078DDEB3">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（2）近五年所辅导的学生获得过全国高中奥林匹克竞赛（数学、物理、化学、生物、信息）全国金牌的且承担主教练工作的教师。</w:t>
            </w:r>
          </w:p>
          <w:p w14:paraId="4DACFE2C">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全国职业院校技能大赛二等奖及以上或省级职业院校技能大赛一等奖者；省级及以上技术能手；世界技能大赛国家集训队成员；参加人社部门或教育部门组织的职业技能大赛获省级前三名、国家级前六名者；指导学生获得全国职业院校技能大赛一等奖的优秀指导教师。</w:t>
            </w:r>
          </w:p>
          <w:p w14:paraId="4BAB5127">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（4）曾获得相应学科县级及以上教坛新苗、教学能手、教坛新秀、名师，地级市优质课一等奖及以上等荣誉的教师。</w:t>
            </w:r>
          </w:p>
          <w:p w14:paraId="3B38030B">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2.具有相应岗位的教师资格证书。</w:t>
            </w:r>
          </w:p>
        </w:tc>
      </w:tr>
      <w:tr w14:paraId="551CC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684" w:type="dxa"/>
            <w:vMerge w:val="continue"/>
            <w:tcBorders>
              <w:tl2br w:val="nil"/>
              <w:tr2bl w:val="nil"/>
            </w:tcBorders>
            <w:noWrap/>
            <w:vAlign w:val="center"/>
          </w:tcPr>
          <w:p w14:paraId="7FD75EA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061" w:type="dxa"/>
            <w:vMerge w:val="continue"/>
            <w:tcBorders>
              <w:tl2br w:val="nil"/>
              <w:tr2bl w:val="nil"/>
            </w:tcBorders>
            <w:noWrap/>
            <w:vAlign w:val="center"/>
          </w:tcPr>
          <w:p w14:paraId="4BB4861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56" w:type="dxa"/>
            <w:tcBorders>
              <w:tl2br w:val="nil"/>
              <w:tr2bl w:val="nil"/>
            </w:tcBorders>
            <w:noWrap/>
            <w:vAlign w:val="center"/>
          </w:tcPr>
          <w:p w14:paraId="064227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地理</w:t>
            </w:r>
          </w:p>
        </w:tc>
        <w:tc>
          <w:tcPr>
            <w:tcW w:w="690" w:type="dxa"/>
            <w:tcBorders>
              <w:tl2br w:val="nil"/>
              <w:tr2bl w:val="nil"/>
            </w:tcBorders>
            <w:noWrap/>
            <w:vAlign w:val="center"/>
          </w:tcPr>
          <w:p w14:paraId="7BCA08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continue"/>
            <w:tcBorders>
              <w:tl2br w:val="nil"/>
              <w:tr2bl w:val="nil"/>
            </w:tcBorders>
            <w:noWrap/>
            <w:vAlign w:val="center"/>
          </w:tcPr>
          <w:p w14:paraId="3EFBC905">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475" w:type="dxa"/>
            <w:vMerge w:val="continue"/>
            <w:tcBorders>
              <w:tl2br w:val="nil"/>
              <w:tr2bl w:val="nil"/>
            </w:tcBorders>
            <w:noWrap/>
            <w:vAlign w:val="center"/>
          </w:tcPr>
          <w:p w14:paraId="2F4F38E3">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31556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684" w:type="dxa"/>
            <w:vMerge w:val="continue"/>
            <w:tcBorders>
              <w:tl2br w:val="nil"/>
              <w:tr2bl w:val="nil"/>
            </w:tcBorders>
            <w:noWrap/>
            <w:vAlign w:val="center"/>
          </w:tcPr>
          <w:p w14:paraId="589D0B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061" w:type="dxa"/>
            <w:tcBorders>
              <w:tl2br w:val="nil"/>
              <w:tr2bl w:val="nil"/>
            </w:tcBorders>
            <w:noWrap/>
            <w:vAlign w:val="center"/>
          </w:tcPr>
          <w:p w14:paraId="58931DA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浙江省武义第三中学</w:t>
            </w:r>
          </w:p>
        </w:tc>
        <w:tc>
          <w:tcPr>
            <w:tcW w:w="656" w:type="dxa"/>
            <w:tcBorders>
              <w:tl2br w:val="nil"/>
              <w:tr2bl w:val="nil"/>
            </w:tcBorders>
            <w:noWrap/>
            <w:vAlign w:val="center"/>
          </w:tcPr>
          <w:p w14:paraId="7107FE9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地理</w:t>
            </w:r>
          </w:p>
        </w:tc>
        <w:tc>
          <w:tcPr>
            <w:tcW w:w="690" w:type="dxa"/>
            <w:tcBorders>
              <w:tl2br w:val="nil"/>
              <w:tr2bl w:val="nil"/>
            </w:tcBorders>
            <w:noWrap/>
            <w:vAlign w:val="center"/>
          </w:tcPr>
          <w:p w14:paraId="71E36B9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continue"/>
            <w:tcBorders>
              <w:tl2br w:val="nil"/>
              <w:tr2bl w:val="nil"/>
            </w:tcBorders>
            <w:noWrap/>
            <w:vAlign w:val="center"/>
          </w:tcPr>
          <w:p w14:paraId="22C1E392">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475" w:type="dxa"/>
            <w:vMerge w:val="continue"/>
            <w:tcBorders>
              <w:tl2br w:val="nil"/>
              <w:tr2bl w:val="nil"/>
            </w:tcBorders>
            <w:noWrap/>
            <w:vAlign w:val="center"/>
          </w:tcPr>
          <w:p w14:paraId="74E78311">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4DE6E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684" w:type="dxa"/>
            <w:vMerge w:val="restart"/>
            <w:tcBorders>
              <w:tl2br w:val="nil"/>
              <w:tr2bl w:val="nil"/>
            </w:tcBorders>
            <w:noWrap/>
            <w:vAlign w:val="center"/>
          </w:tcPr>
          <w:p w14:paraId="47A5D2E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初中</w:t>
            </w:r>
          </w:p>
        </w:tc>
        <w:tc>
          <w:tcPr>
            <w:tcW w:w="2061" w:type="dxa"/>
            <w:tcBorders>
              <w:tl2br w:val="nil"/>
              <w:tr2bl w:val="nil"/>
            </w:tcBorders>
            <w:shd w:val="clear" w:color="auto" w:fill="auto"/>
            <w:noWrap/>
            <w:vAlign w:val="center"/>
          </w:tcPr>
          <w:p w14:paraId="4CA977C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浙江省武义县金穗民族中学</w:t>
            </w:r>
          </w:p>
        </w:tc>
        <w:tc>
          <w:tcPr>
            <w:tcW w:w="656" w:type="dxa"/>
            <w:tcBorders>
              <w:tl2br w:val="nil"/>
              <w:tr2bl w:val="nil"/>
            </w:tcBorders>
            <w:shd w:val="clear" w:color="auto" w:fill="auto"/>
            <w:noWrap/>
            <w:vAlign w:val="center"/>
          </w:tcPr>
          <w:p w14:paraId="0384CC8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数学</w:t>
            </w:r>
          </w:p>
        </w:tc>
        <w:tc>
          <w:tcPr>
            <w:tcW w:w="690" w:type="dxa"/>
            <w:tcBorders>
              <w:tl2br w:val="nil"/>
              <w:tr2bl w:val="nil"/>
            </w:tcBorders>
            <w:shd w:val="clear" w:color="auto" w:fill="auto"/>
            <w:noWrap/>
            <w:vAlign w:val="center"/>
          </w:tcPr>
          <w:p w14:paraId="0BD7AE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continue"/>
            <w:tcBorders>
              <w:tl2br w:val="nil"/>
              <w:tr2bl w:val="nil"/>
            </w:tcBorders>
            <w:noWrap/>
            <w:vAlign w:val="center"/>
          </w:tcPr>
          <w:p w14:paraId="027A919F">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475" w:type="dxa"/>
            <w:vMerge w:val="continue"/>
            <w:tcBorders>
              <w:tl2br w:val="nil"/>
              <w:tr2bl w:val="nil"/>
            </w:tcBorders>
            <w:noWrap/>
            <w:vAlign w:val="center"/>
          </w:tcPr>
          <w:p w14:paraId="1047A89F">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1E54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exact"/>
        </w:trPr>
        <w:tc>
          <w:tcPr>
            <w:tcW w:w="684" w:type="dxa"/>
            <w:vMerge w:val="continue"/>
            <w:tcBorders>
              <w:tl2br w:val="nil"/>
              <w:tr2bl w:val="nil"/>
            </w:tcBorders>
            <w:noWrap/>
            <w:vAlign w:val="center"/>
          </w:tcPr>
          <w:p w14:paraId="3A1094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061" w:type="dxa"/>
            <w:tcBorders>
              <w:tl2br w:val="nil"/>
              <w:tr2bl w:val="nil"/>
            </w:tcBorders>
            <w:shd w:val="clear" w:color="auto" w:fill="auto"/>
            <w:noWrap/>
            <w:vAlign w:val="center"/>
          </w:tcPr>
          <w:p w14:paraId="7E696888">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武义县泉溪中学（新）</w:t>
            </w:r>
          </w:p>
        </w:tc>
        <w:tc>
          <w:tcPr>
            <w:tcW w:w="656" w:type="dxa"/>
            <w:tcBorders>
              <w:tl2br w:val="nil"/>
              <w:tr2bl w:val="nil"/>
            </w:tcBorders>
            <w:shd w:val="clear" w:color="auto" w:fill="auto"/>
            <w:noWrap/>
            <w:vAlign w:val="center"/>
          </w:tcPr>
          <w:p w14:paraId="7DAAA33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数学</w:t>
            </w:r>
          </w:p>
        </w:tc>
        <w:tc>
          <w:tcPr>
            <w:tcW w:w="690" w:type="dxa"/>
            <w:tcBorders>
              <w:tl2br w:val="nil"/>
              <w:tr2bl w:val="nil"/>
            </w:tcBorders>
            <w:shd w:val="clear" w:color="auto" w:fill="auto"/>
            <w:noWrap/>
            <w:vAlign w:val="center"/>
          </w:tcPr>
          <w:p w14:paraId="1054FA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continue"/>
            <w:tcBorders>
              <w:tl2br w:val="nil"/>
              <w:tr2bl w:val="nil"/>
            </w:tcBorders>
            <w:noWrap/>
            <w:vAlign w:val="center"/>
          </w:tcPr>
          <w:p w14:paraId="69AD56DA">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475" w:type="dxa"/>
            <w:vMerge w:val="continue"/>
            <w:tcBorders>
              <w:tl2br w:val="nil"/>
              <w:tr2bl w:val="nil"/>
            </w:tcBorders>
            <w:noWrap/>
            <w:vAlign w:val="center"/>
          </w:tcPr>
          <w:p w14:paraId="0E8F2385">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bl>
    <w:p w14:paraId="591C5AF6">
      <w:pPr>
        <w:pStyle w:val="5"/>
        <w:widowControl w:val="0"/>
        <w:spacing w:before="0" w:beforeAutospacing="0" w:after="0" w:afterAutospacing="0" w:line="560" w:lineRule="exact"/>
        <w:jc w:val="both"/>
        <w:rPr>
          <w:rFonts w:hint="eastAsia" w:ascii="Times New Roman" w:hAnsi="Times New Roman" w:eastAsia="仿宋_GB2312" w:cstheme="minorBidi"/>
          <w:color w:val="000000" w:themeColor="text1"/>
          <w:kern w:val="2"/>
          <w:sz w:val="32"/>
          <w:szCs w:val="32"/>
          <w:highlight w:val="none"/>
          <w14:textFill>
            <w14:solidFill>
              <w14:schemeClr w14:val="tx1"/>
            </w14:solidFill>
          </w14:textFill>
        </w:rPr>
        <w:sectPr>
          <w:footerReference r:id="rId3" w:type="default"/>
          <w:pgSz w:w="16838" w:h="11906" w:orient="landscape"/>
          <w:pgMar w:top="291" w:right="1701" w:bottom="-655" w:left="1588" w:header="851" w:footer="1020" w:gutter="0"/>
          <w:pgBorders>
            <w:top w:val="none" w:sz="0" w:space="0"/>
            <w:left w:val="none" w:sz="0" w:space="0"/>
            <w:bottom w:val="none" w:sz="0" w:space="0"/>
            <w:right w:val="none" w:sz="0" w:space="0"/>
          </w:pgBorders>
          <w:cols w:space="425" w:num="1"/>
          <w:docGrid w:type="lines" w:linePitch="312" w:charSpace="0"/>
        </w:sectPr>
      </w:pPr>
    </w:p>
    <w:p w14:paraId="76F0C45C">
      <w:pPr>
        <w:rPr>
          <w:rFonts w:hint="eastAsia" w:ascii="Times New Roman" w:hAnsi="Times New Roman" w:eastAsia="仿宋_GB2312" w:cstheme="minorBidi"/>
          <w:color w:val="000000" w:themeColor="text1"/>
          <w:kern w:val="2"/>
          <w:sz w:val="32"/>
          <w:szCs w:val="32"/>
          <w:highlight w:val="none"/>
          <w14:textFill>
            <w14:solidFill>
              <w14:schemeClr w14:val="tx1"/>
            </w14:solidFill>
          </w14:textFill>
        </w:rPr>
      </w:pPr>
    </w:p>
    <w:p w14:paraId="2EB8EEFE">
      <w:bookmarkStart w:id="0" w:name="_GoBack"/>
      <w:bookmarkEnd w:id="0"/>
    </w:p>
    <w:sectPr>
      <w:footerReference r:id="rId4" w:type="default"/>
      <w:pgSz w:w="11906" w:h="16838"/>
      <w:pgMar w:top="60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2F8E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C64B6">
    <w:pPr>
      <w:pStyle w:val="4"/>
      <w:ind w:firstLine="1084" w:firstLineChars="600"/>
      <w:rPr>
        <w:rFonts w:hint="eastAsia" w:eastAsia="宋体"/>
        <w:b/>
        <w:bCs/>
        <w:lang w:eastAsia="zh-CN"/>
      </w:rPr>
    </w:pPr>
    <w:r>
      <w:rPr>
        <w:rFonts w:hint="eastAsia"/>
        <w:b/>
        <w:bCs/>
        <w:lang w:eastAsia="zh-CN"/>
      </w:rPr>
      <w:t>请严格按要求填表，信息填写不全者视为资格不符合。请注意</w:t>
    </w:r>
    <w:r>
      <w:rPr>
        <w:rFonts w:hint="eastAsia"/>
        <w:b/>
        <w:bCs/>
      </w:rPr>
      <w:t>表格</w:t>
    </w:r>
    <w:r>
      <w:rPr>
        <w:rFonts w:hint="eastAsia"/>
        <w:b/>
        <w:bCs/>
        <w:lang w:eastAsia="zh-CN"/>
      </w:rPr>
      <w:t>完整性，</w:t>
    </w:r>
    <w:r>
      <w:rPr>
        <w:rFonts w:hint="eastAsia"/>
        <w:b/>
        <w:bCs/>
      </w:rPr>
      <w:t>不要破页</w:t>
    </w:r>
    <w:r>
      <w:rPr>
        <w:rFonts w:hint="eastAsia"/>
        <w:b/>
        <w:bCs/>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5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200" w:firstLineChars="200"/>
    </w:pPr>
    <w:rPr>
      <w:rFonts w:ascii="Times New Roman" w:hAnsi="Times New Roman" w:eastAsia="宋体" w:cs="Times New Roman"/>
      <w:kern w:val="2"/>
      <w:szCs w:val="22"/>
    </w:rPr>
  </w:style>
  <w:style w:type="paragraph" w:styleId="3">
    <w:name w:val="Body Text Indent"/>
    <w:basedOn w:val="1"/>
    <w:next w:val="2"/>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2025-04-10T01:16:51Z</dcterms:created>
  <dc:creator>SX-T</dc:creator>
  <cp:lastModifiedBy>SX-T</cp:lastModifiedBy>
  <dcterms:modified xsi:type="dcterms:W3CDTF">2025-04-10T01:17:13Z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BA795E9CEB044E74B8E62BE1C6740D23_12</vt:lpwstr>
  </property>
</Properties>
</file>