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DE693">
      <w:pPr>
        <w:jc w:val="left"/>
        <w:rPr>
          <w:rFonts w:ascii="CESI仿宋-GB2312" w:hAnsi="CESI仿宋-GB2312" w:eastAsia="CESI仿宋-GB2312" w:cs="CESI仿宋-GB2312"/>
          <w:b/>
          <w:sz w:val="28"/>
          <w:szCs w:val="28"/>
        </w:rPr>
      </w:pPr>
      <w:r>
        <w:rPr>
          <w:rFonts w:hint="eastAsia" w:ascii="仿宋_GB2312" w:eastAsia="仿宋_GB2312"/>
          <w:sz w:val="32"/>
          <w:szCs w:val="32"/>
        </w:rPr>
        <w:t>附件3</w:t>
      </w:r>
    </w:p>
    <w:p w14:paraId="637AFA4F">
      <w:pPr>
        <w:spacing w:line="520" w:lineRule="exact"/>
        <w:jc w:val="center"/>
        <w:rPr>
          <w:rFonts w:ascii="方正小标宋简体" w:hAnsi="仿宋" w:eastAsia="方正小标宋简体"/>
          <w:sz w:val="40"/>
          <w:szCs w:val="40"/>
        </w:rPr>
      </w:pPr>
      <w:bookmarkStart w:id="0" w:name="_GoBack"/>
      <w:r>
        <w:rPr>
          <w:rFonts w:hint="eastAsia" w:ascii="方正小标宋简体" w:hAnsi="仿宋" w:eastAsia="方正小标宋简体"/>
          <w:sz w:val="40"/>
          <w:szCs w:val="40"/>
        </w:rPr>
        <w:t>北京市教师资格认定体检机构名单及</w:t>
      </w:r>
    </w:p>
    <w:p w14:paraId="094517ED">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bookmarkEnd w:id="0"/>
    </w:p>
    <w:p w14:paraId="604F13E4">
      <w:pPr>
        <w:spacing w:line="520" w:lineRule="exact"/>
        <w:jc w:val="center"/>
        <w:rPr>
          <w:rFonts w:ascii="方正小标宋简体" w:hAnsi="仿宋" w:eastAsia="方正小标宋简体"/>
          <w:color w:val="000000"/>
          <w:sz w:val="40"/>
          <w:szCs w:val="40"/>
        </w:rPr>
      </w:pPr>
    </w:p>
    <w:tbl>
      <w:tblPr>
        <w:tblStyle w:val="5"/>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4C6A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14:paraId="0E99A085">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14:paraId="01687B62">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14:paraId="6F4264F7">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14:paraId="088F0F47">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14:paraId="7ABB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25ABBE63">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2EA4BC7E">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14:paraId="56383AD6">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14:paraId="0B9766BB">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2979" w:type="dxa"/>
            <w:shd w:val="clear" w:color="auto" w:fill="auto"/>
            <w:vAlign w:val="center"/>
          </w:tcPr>
          <w:p w14:paraId="29EE2829">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关注“北京市体检中心”微信服务号→我要体检→体检预约→教师→选择“马甸部”→选择“教师体检男或女”→预约信息中选择日期和时间段→病史调查和健康问卷→确定</w:t>
            </w:r>
          </w:p>
        </w:tc>
      </w:tr>
      <w:tr w14:paraId="26F0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8" w:type="dxa"/>
            <w:shd w:val="clear" w:color="auto" w:fill="auto"/>
            <w:vAlign w:val="center"/>
          </w:tcPr>
          <w:p w14:paraId="4E091213">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4FCC5D33">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14:paraId="21B396E1">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14:paraId="6AA32BB6">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2979" w:type="dxa"/>
            <w:shd w:val="clear" w:color="auto" w:fill="auto"/>
            <w:vAlign w:val="center"/>
          </w:tcPr>
          <w:p w14:paraId="4FD3AEED">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关注“北京市体检中心”微信服务号→我要体检→体检预约→教师→选择“航天桥门诊部”→选择“教师体检男或女”→预约信息中选择日期和时间段→病史调查和健康问卷→确定</w:t>
            </w:r>
          </w:p>
        </w:tc>
      </w:tr>
      <w:tr w14:paraId="4A0D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8" w:type="dxa"/>
            <w:shd w:val="clear" w:color="auto" w:fill="auto"/>
            <w:vAlign w:val="center"/>
          </w:tcPr>
          <w:p w14:paraId="07C34218">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56D20318">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14:paraId="01EEAD6B">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14:paraId="570E7CF5">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2979" w:type="dxa"/>
            <w:shd w:val="clear" w:color="auto" w:fill="auto"/>
            <w:vAlign w:val="center"/>
          </w:tcPr>
          <w:p w14:paraId="72AAF0BA">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关注“北京市体检中心”微信服务号→我要体检→体检预约→教师→选择“丰台部”→选择“教师体检男或女”→预约信息中选择日期和时间段→病史调查和健康问卷→确定</w:t>
            </w:r>
          </w:p>
        </w:tc>
      </w:tr>
      <w:tr w14:paraId="79E1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3367DD4C">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14:paraId="2DE71EFF">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14:paraId="1E5F9FC3">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2979" w:type="dxa"/>
            <w:shd w:val="clear" w:color="auto" w:fill="auto"/>
            <w:vAlign w:val="center"/>
          </w:tcPr>
          <w:p w14:paraId="13C1DB35">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14:paraId="1B37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61DDDAA4">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14:paraId="67424902">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5B04ED0A">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14:paraId="42FF432E">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2979" w:type="dxa"/>
            <w:shd w:val="clear" w:color="auto" w:fill="auto"/>
            <w:vAlign w:val="center"/>
          </w:tcPr>
          <w:p w14:paraId="7F40125E">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14:paraId="0347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74CBC99B">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14:paraId="6702A8F9">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14:paraId="13363110">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2979" w:type="dxa"/>
            <w:shd w:val="clear" w:color="auto" w:fill="auto"/>
            <w:vAlign w:val="center"/>
          </w:tcPr>
          <w:p w14:paraId="242AE50E">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14:paraId="6C5B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1BFBEFAD">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14:paraId="4C4DA063">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14:paraId="4EEBA898">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2979" w:type="dxa"/>
            <w:shd w:val="clear" w:color="auto" w:fill="auto"/>
            <w:vAlign w:val="center"/>
          </w:tcPr>
          <w:p w14:paraId="5FDD8260">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14:paraId="2B23E299">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14:paraId="03E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51BF0523">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14:paraId="76EBBEE2">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14:paraId="139D742E">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2979" w:type="dxa"/>
            <w:shd w:val="clear" w:color="auto" w:fill="auto"/>
            <w:vAlign w:val="center"/>
          </w:tcPr>
          <w:p w14:paraId="59E97ACA">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14:paraId="21AC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82AF68C">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67D4C1B9">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14:paraId="6CA63E04">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14:paraId="697A40AB">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2979" w:type="dxa"/>
            <w:shd w:val="clear" w:color="auto" w:fill="auto"/>
            <w:vAlign w:val="center"/>
          </w:tcPr>
          <w:p w14:paraId="5CB31DA3">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14:paraId="73A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7BC54696">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7F238B2D">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14:paraId="7DD1DF2B">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14:paraId="0D502E47">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2979" w:type="dxa"/>
            <w:shd w:val="clear" w:color="auto" w:fill="auto"/>
            <w:vAlign w:val="center"/>
          </w:tcPr>
          <w:p w14:paraId="0B286970">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14:paraId="5A17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12C628BC">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14:paraId="72975D46">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22DD91E8">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14:paraId="19C6B164">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14:paraId="64BA9575">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14:paraId="595E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14:paraId="4DE1CDE1">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14:paraId="73E65483">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14:paraId="744943AE">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2979" w:type="dxa"/>
            <w:shd w:val="clear" w:color="auto" w:fill="auto"/>
            <w:vAlign w:val="center"/>
          </w:tcPr>
          <w:p w14:paraId="2A693226">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14:paraId="4677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58" w:type="dxa"/>
            <w:shd w:val="clear" w:color="auto" w:fill="auto"/>
            <w:vAlign w:val="center"/>
          </w:tcPr>
          <w:p w14:paraId="0352F35B">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14:paraId="3D9B8EAD">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14:paraId="50B914D0">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2979" w:type="dxa"/>
            <w:shd w:val="clear" w:color="auto" w:fill="auto"/>
            <w:vAlign w:val="center"/>
          </w:tcPr>
          <w:p w14:paraId="68A5FD76">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14:paraId="29CE7CB9">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14:paraId="140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58" w:type="dxa"/>
            <w:shd w:val="clear" w:color="auto" w:fill="auto"/>
            <w:vAlign w:val="center"/>
          </w:tcPr>
          <w:p w14:paraId="50A35EC4">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14:paraId="3A68A5CC">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14:paraId="2816C882">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2979" w:type="dxa"/>
            <w:shd w:val="clear" w:color="auto" w:fill="auto"/>
            <w:vAlign w:val="center"/>
          </w:tcPr>
          <w:p w14:paraId="023C41B1">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14:paraId="79CAE4F9">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关注大兴区人民医院体检中心”～我要体检～体检预约～个人</w:t>
            </w:r>
            <w:r>
              <w:rPr>
                <w:rFonts w:ascii="仿宋" w:hAnsi="仿宋" w:eastAsia="仿宋"/>
                <w:color w:val="000000"/>
                <w:kern w:val="0"/>
                <w:sz w:val="22"/>
              </w:rPr>
              <w:t>体检</w:t>
            </w:r>
            <w:r>
              <w:rPr>
                <w:rFonts w:hint="eastAsia" w:ascii="仿宋" w:hAnsi="仿宋" w:eastAsia="仿宋"/>
                <w:color w:val="000000"/>
                <w:kern w:val="0"/>
                <w:sz w:val="22"/>
              </w:rPr>
              <w:t>～教师体检</w:t>
            </w:r>
          </w:p>
        </w:tc>
      </w:tr>
      <w:tr w14:paraId="5F49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8710A9A">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14:paraId="5C95210D">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14:paraId="4E7DACCD">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2979" w:type="dxa"/>
            <w:shd w:val="clear" w:color="auto" w:fill="auto"/>
            <w:vAlign w:val="center"/>
          </w:tcPr>
          <w:p w14:paraId="5872BE9B">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14:paraId="3621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14:paraId="5F798D43">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14:paraId="2072B61B">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7B1443A4">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14:paraId="636AE92D">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2979" w:type="dxa"/>
            <w:shd w:val="clear" w:color="auto" w:fill="auto"/>
            <w:vAlign w:val="center"/>
          </w:tcPr>
          <w:p w14:paraId="6CD46C62">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14:paraId="3779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14:paraId="2AAFC82A">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14:paraId="7070E331">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14:paraId="72A59449">
            <w:pPr>
              <w:widowControl/>
              <w:jc w:val="center"/>
              <w:rPr>
                <w:rFonts w:ascii="仿宋" w:hAnsi="仿宋" w:eastAsia="仿宋"/>
                <w:color w:val="000000"/>
                <w:kern w:val="0"/>
                <w:sz w:val="22"/>
              </w:rPr>
            </w:pPr>
            <w:r>
              <w:rPr>
                <w:rFonts w:ascii="仿宋" w:hAnsi="仿宋" w:eastAsia="仿宋"/>
                <w:color w:val="000000"/>
                <w:kern w:val="0"/>
                <w:sz w:val="22"/>
              </w:rPr>
              <w:t>80110065</w:t>
            </w:r>
          </w:p>
        </w:tc>
        <w:tc>
          <w:tcPr>
            <w:tcW w:w="2979" w:type="dxa"/>
            <w:shd w:val="clear" w:color="auto" w:fill="auto"/>
            <w:vAlign w:val="center"/>
          </w:tcPr>
          <w:p w14:paraId="6D04E417">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14:paraId="7D33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14:paraId="67B431D9">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14:paraId="1B7733BE">
            <w:pPr>
              <w:widowControl/>
              <w:jc w:val="left"/>
              <w:rPr>
                <w:rFonts w:ascii="仿宋" w:hAnsi="仿宋" w:eastAsia="仿宋"/>
                <w:color w:val="000000"/>
                <w:kern w:val="0"/>
                <w:sz w:val="22"/>
              </w:rPr>
            </w:pPr>
            <w:r>
              <w:rPr>
                <w:rFonts w:hint="eastAsia" w:ascii="仿宋" w:hAnsi="仿宋" w:eastAsia="仿宋"/>
                <w:color w:val="000000"/>
                <w:kern w:val="0"/>
                <w:sz w:val="22"/>
              </w:rPr>
              <w:t>顺义区牛栏山镇府前街13号，导航:牛栏山社区卫生服务中心</w:t>
            </w:r>
          </w:p>
        </w:tc>
        <w:tc>
          <w:tcPr>
            <w:tcW w:w="1140" w:type="dxa"/>
            <w:shd w:val="clear" w:color="auto" w:fill="auto"/>
            <w:vAlign w:val="center"/>
          </w:tcPr>
          <w:p w14:paraId="566F8CBB">
            <w:pPr>
              <w:widowControl/>
              <w:jc w:val="center"/>
              <w:rPr>
                <w:rFonts w:ascii="仿宋" w:hAnsi="仿宋" w:eastAsia="仿宋"/>
                <w:color w:val="000000"/>
                <w:kern w:val="0"/>
                <w:sz w:val="22"/>
              </w:rPr>
            </w:pPr>
            <w:r>
              <w:rPr>
                <w:rFonts w:hint="eastAsia" w:ascii="仿宋" w:hAnsi="仿宋" w:eastAsia="仿宋"/>
                <w:color w:val="000000"/>
                <w:kern w:val="0"/>
                <w:sz w:val="22"/>
              </w:rPr>
              <w:t>81419990</w:t>
            </w:r>
          </w:p>
          <w:p w14:paraId="262FF58B">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2979" w:type="dxa"/>
            <w:shd w:val="clear" w:color="auto" w:fill="auto"/>
            <w:vAlign w:val="center"/>
          </w:tcPr>
          <w:p w14:paraId="4977C345">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14:paraId="5458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7F4C3131">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14:paraId="36FB8137">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14:paraId="4F21A985">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2979" w:type="dxa"/>
            <w:shd w:val="clear" w:color="auto" w:fill="auto"/>
            <w:vAlign w:val="center"/>
          </w:tcPr>
          <w:p w14:paraId="7D436269">
            <w:pPr>
              <w:widowControl/>
              <w:jc w:val="left"/>
              <w:rPr>
                <w:rFonts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14:paraId="3222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5DD89128">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14:paraId="2848F2F4">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14:paraId="275359A1">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2979" w:type="dxa"/>
            <w:shd w:val="clear" w:color="auto" w:fill="auto"/>
            <w:vAlign w:val="center"/>
          </w:tcPr>
          <w:p w14:paraId="59CC8D40">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14:paraId="76C0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14:paraId="5A4E8F6B">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14:paraId="4E3FFFA8">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14:paraId="2B782908">
            <w:pPr>
              <w:widowControl/>
              <w:jc w:val="center"/>
              <w:rPr>
                <w:rFonts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14:paraId="24493DAC">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14:paraId="25A2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14:paraId="712D6012">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14:paraId="6B5BF390">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14:paraId="63661480">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2979" w:type="dxa"/>
            <w:shd w:val="clear" w:color="auto" w:fill="auto"/>
            <w:vAlign w:val="center"/>
          </w:tcPr>
          <w:p w14:paraId="6FB8FDAC">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14:paraId="560F9F71">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14:paraId="45112B69">
      <w:pPr>
        <w:rPr>
          <w:rFonts w:ascii="仿宋" w:hAnsi="仿宋" w:eastAsia="仿宋" w:cs="Calibri"/>
          <w:b/>
          <w:color w:val="000000"/>
          <w:sz w:val="28"/>
          <w:szCs w:val="28"/>
        </w:rPr>
      </w:pPr>
    </w:p>
    <w:p w14:paraId="38263730">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30FA2960">
      <w:pPr>
        <w:rPr>
          <w:rFonts w:ascii="仿宋" w:hAnsi="仿宋" w:eastAsia="仿宋"/>
          <w:color w:val="000000"/>
        </w:rPr>
      </w:pPr>
    </w:p>
    <w:p w14:paraId="76C86CF4">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14:paraId="399B239F">
      <w:pPr>
        <w:rPr>
          <w:rFonts w:ascii="仿宋" w:hAnsi="仿宋" w:eastAsia="仿宋"/>
          <w:color w:val="000000"/>
        </w:rPr>
      </w:pPr>
      <w:r>
        <w:rPr>
          <w:rFonts w:hint="eastAsia" w:ascii="仿宋" w:hAnsi="仿宋" w:eastAsia="仿宋"/>
          <w:color w:val="000000"/>
        </w:rPr>
        <w:t>1．有精神病史、癫痫病史、癔症史。</w:t>
      </w:r>
    </w:p>
    <w:p w14:paraId="6A171F64">
      <w:pPr>
        <w:rPr>
          <w:rFonts w:ascii="仿宋" w:hAnsi="仿宋" w:eastAsia="仿宋"/>
          <w:color w:val="000000"/>
        </w:rPr>
      </w:pPr>
      <w:r>
        <w:rPr>
          <w:rFonts w:hint="eastAsia" w:ascii="仿宋" w:hAnsi="仿宋" w:eastAsia="仿宋"/>
          <w:color w:val="000000"/>
        </w:rPr>
        <w:t>2．精神疾病（以二级以上专科医院诊断为依据）。包括：</w:t>
      </w:r>
    </w:p>
    <w:p w14:paraId="1BFD9077">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639CF21B">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433D363A">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553ADF70">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14:paraId="7CE3A61D">
      <w:pPr>
        <w:rPr>
          <w:rFonts w:ascii="仿宋" w:hAnsi="仿宋" w:eastAsia="仿宋"/>
          <w:color w:val="000000"/>
        </w:rPr>
      </w:pPr>
      <w:r>
        <w:rPr>
          <w:rFonts w:hint="eastAsia" w:ascii="仿宋" w:hAnsi="仿宋" w:eastAsia="仿宋"/>
          <w:color w:val="000000"/>
        </w:rPr>
        <w:t>（5）人格障碍的某些亚型。如：反社会型、冲动型、分裂型人格障碍。</w:t>
      </w:r>
    </w:p>
    <w:p w14:paraId="6136A7AE">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14:paraId="121AFE1D">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0626D00D">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14:paraId="06F60A10">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14:paraId="3CFB790E">
      <w:pPr>
        <w:rPr>
          <w:rFonts w:ascii="仿宋" w:hAnsi="仿宋" w:eastAsia="仿宋"/>
          <w:color w:val="000000"/>
        </w:rPr>
      </w:pPr>
      <w:r>
        <w:rPr>
          <w:rFonts w:hint="eastAsia" w:ascii="仿宋" w:hAnsi="仿宋" w:eastAsia="仿宋"/>
          <w:color w:val="000000"/>
        </w:rPr>
        <w:t>6．两耳听力均低于2米。</w:t>
      </w:r>
    </w:p>
    <w:p w14:paraId="0C6BC4CB">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55105D54">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14:paraId="3B9D7F8C">
      <w:pPr>
        <w:rPr>
          <w:rFonts w:ascii="仿宋" w:hAnsi="仿宋" w:eastAsia="仿宋"/>
          <w:color w:val="000000"/>
        </w:rPr>
      </w:pPr>
      <w:r>
        <w:rPr>
          <w:rFonts w:hint="eastAsia" w:ascii="仿宋" w:hAnsi="仿宋" w:eastAsia="仿宋"/>
          <w:color w:val="000000"/>
        </w:rPr>
        <w:t>8．双眼中好眼最佳矫正视力低于4.5（0.3）。</w:t>
      </w:r>
    </w:p>
    <w:p w14:paraId="36877584">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36FADF74">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62BA9DBD">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052C4FEA">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70392D97">
      <w:pPr>
        <w:rPr>
          <w:rFonts w:ascii="仿宋" w:hAnsi="仿宋" w:eastAsia="仿宋"/>
          <w:color w:val="000000"/>
        </w:rPr>
      </w:pPr>
      <w:r>
        <w:rPr>
          <w:rFonts w:hint="eastAsia" w:ascii="仿宋" w:hAnsi="仿宋" w:eastAsia="仿宋"/>
          <w:color w:val="000000"/>
        </w:rPr>
        <w:t>13．严重下肢血管疾病影响站立或行走（经手术治愈者除外）。</w:t>
      </w:r>
    </w:p>
    <w:p w14:paraId="2804F529">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5377CAB5">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083D04AF">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14:paraId="7B8F7326">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14:paraId="52E05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821B9"/>
    <w:rsid w:val="00EF7D0A"/>
    <w:rsid w:val="091D1E3A"/>
    <w:rsid w:val="4AD81F51"/>
    <w:rsid w:val="4BEC1D1F"/>
    <w:rsid w:val="606D6287"/>
    <w:rsid w:val="64694385"/>
    <w:rsid w:val="6AA8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标题 1 字符"/>
    <w:link w:val="2"/>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2025-03-14T06:29:00Z</dcterms:created>
  <dc:creator>真·大型肉食动物饲养员</dc:creator>
  <cp:lastModifiedBy>真·大型肉食动物饲养员</cp:lastModifiedBy>
  <dcterms:modified xsi:type="dcterms:W3CDTF">2025-03-14T06:30:17Z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44BF1846DC49403F9823AF57E3D66DEF_13</vt:lpwstr>
  </property>
  <property fmtid="{D5CDD505-2E9C-101B-9397-08002B2CF9AE}" pid="4" name="KSOTemplateDocerSaveRecord">
    <vt:lpwstr>eyJoZGlkIjoiNGIyYTFhY2FhY2RjN2E2ZjE5YjM5MTEwYTMzNTI3ZmUiLCJ1c2VySWQiOiIzMzc1ODA3MjYifQ==</vt:lpwstr>
  </property>
</Properties>
</file>