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B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195" w:lineRule="atLeast"/>
        <w:ind w:left="0" w:right="0"/>
        <w:rPr>
          <w:sz w:val="19"/>
          <w:szCs w:val="19"/>
        </w:rPr>
      </w:pPr>
      <w:r>
        <w:rPr>
          <w:rStyle w:val="5"/>
          <w:rFonts w:ascii="仿宋" w:eastAsia="仿宋" w:cs="仿宋"/>
          <w:sz w:val="28"/>
          <w:szCs w:val="28"/>
          <w:bdr w:val="none" w:color="auto" w:sz="0" w:space="0"/>
        </w:rPr>
        <w:t>附件</w:t>
      </w:r>
      <w:r>
        <w:rPr>
          <w:rStyle w:val="5"/>
          <w:rFonts w:hint="eastAsia" w:ascii="仿宋" w:eastAsia="仿宋" w:cs="仿宋"/>
          <w:sz w:val="28"/>
          <w:szCs w:val="28"/>
          <w:bdr w:val="none" w:color="auto" w:sz="0" w:space="0"/>
        </w:rPr>
        <w:t>1</w:t>
      </w:r>
    </w:p>
    <w:p w14:paraId="305001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605" w:lineRule="atLeast"/>
        <w:ind w:left="0" w:right="0"/>
        <w:jc w:val="center"/>
        <w:rPr>
          <w:b w:val="0"/>
          <w:bCs w:val="0"/>
          <w:spacing w:val="-12"/>
          <w:sz w:val="19"/>
          <w:szCs w:val="19"/>
        </w:rPr>
      </w:pPr>
      <w:r>
        <w:rPr>
          <w:rFonts w:ascii="Arial Unicode MS" w:hAnsi="Arial Unicode MS" w:eastAsia="Arial Unicode MS" w:cs="Arial Unicode MS"/>
          <w:b w:val="0"/>
          <w:bCs w:val="0"/>
          <w:spacing w:val="-12"/>
          <w:sz w:val="44"/>
          <w:szCs w:val="44"/>
          <w:bdr w:val="none" w:color="auto" w:sz="0" w:space="0"/>
        </w:rPr>
        <w:t>中小学教师资格考试报名网上支付银行列表</w:t>
      </w:r>
    </w:p>
    <w:p w14:paraId="1EA728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75" w:lineRule="atLeast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448300" cy="6724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6E7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605" w:lineRule="atLeast"/>
        <w:ind w:left="0" w:right="0"/>
        <w:jc w:val="center"/>
        <w:rPr>
          <w:b w:val="0"/>
          <w:bCs w:val="0"/>
          <w:spacing w:val="-12"/>
          <w:sz w:val="19"/>
          <w:szCs w:val="19"/>
        </w:rPr>
      </w:pPr>
    </w:p>
    <w:p w14:paraId="7BD7E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/>
        <w:rPr>
          <w:sz w:val="19"/>
          <w:szCs w:val="19"/>
        </w:rPr>
      </w:pPr>
    </w:p>
    <w:p w14:paraId="6B87C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/>
        <w:rPr>
          <w:sz w:val="19"/>
          <w:szCs w:val="19"/>
        </w:rPr>
      </w:pPr>
      <w:r>
        <w:rPr>
          <w:rStyle w:val="5"/>
          <w:rFonts w:hint="eastAsia" w:ascii="仿宋" w:eastAsia="仿宋" w:cs="仿宋"/>
          <w:sz w:val="28"/>
          <w:szCs w:val="28"/>
          <w:bdr w:val="none" w:color="auto" w:sz="0" w:space="0"/>
          <w:shd w:val="clear" w:fill="FFFFFF"/>
        </w:rPr>
        <w:t>附件2</w:t>
      </w:r>
    </w:p>
    <w:p w14:paraId="376A5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05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default" w:ascii="Arial Unicode MS" w:hAnsi="Arial Unicode MS" w:eastAsia="Arial Unicode MS" w:cs="Arial Unicode MS"/>
          <w:b w:val="0"/>
          <w:bCs w:val="0"/>
          <w:sz w:val="44"/>
          <w:szCs w:val="44"/>
          <w:bdr w:val="none" w:color="auto" w:sz="0" w:space="0"/>
          <w:shd w:val="clear" w:fill="FFFFFF"/>
        </w:rPr>
        <w:t>面试考生须知</w:t>
      </w:r>
    </w:p>
    <w:p w14:paraId="7DE9C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05" w:lineRule="atLeast"/>
        <w:ind w:left="0" w:right="0" w:firstLine="634"/>
        <w:rPr>
          <w:sz w:val="19"/>
          <w:szCs w:val="19"/>
        </w:rPr>
      </w:pPr>
    </w:p>
    <w:p w14:paraId="0F861E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一、考生须携带《准考证》（纸质）和有效期内的居民身份证/港澳台居民居住证/港澳居民来往内地通行证/台湾居民来往大陆通行证(五年有效期)参加考试，“两证”缺一不可。如《准考证》上的“姓名”和“身份证号”信息与所持规定证件上的不一致，不得参加考试。</w:t>
      </w:r>
    </w:p>
    <w:p w14:paraId="3B74A0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二、考生应按照《准考证》上规定的时间进入候考室。在截止进入候考室时间15分钟之后的迟到考生，不得参加面试，面试成绩按“缺考”处置。</w:t>
      </w:r>
    </w:p>
    <w:p w14:paraId="75432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三、考生要携带必要的文具（如签字笔等）进入候考室，禁止携带各种文字材料以及具有发送、接收信息或录音录像功能的电子设备（如手机、耳机、智能手表等）进入“抽题室”“备课室”“面试室”，如有违反，将按作弊处理。</w:t>
      </w:r>
    </w:p>
    <w:p w14:paraId="249FD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四、考生自进入候考室起，要遵守秩序，保持安静，听从考点工作人员指令与安排，进入指定区域做好相关准备。</w:t>
      </w:r>
    </w:p>
    <w:p w14:paraId="4F090E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五、考生备课时，应将本人《准考证》和有效期内的居民身份证/港澳台居民居住证/港澳居民来往内地通行证/台湾居民来往大陆通行证(五年有效期)放在课桌的指定位置，以便核验。“备课”时间为20分钟。</w:t>
      </w:r>
    </w:p>
    <w:p w14:paraId="5C398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六、考生须在考点工作人员引导下进入“面试室”。面试时，试讲须按照“讲课”形式进行，“说课”形式不予给分。</w:t>
      </w:r>
    </w:p>
    <w:p w14:paraId="65314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shd w:val="clear" w:fill="FFFFFF"/>
        </w:rPr>
        <w:t>七、面试结束后，考生应向考官提交抽取的面试试题清单及备课纸，在得到考官许可后领取“出场证”离开面试考场，不得向面试考官询问面试结果和分数，不得在考场附近大声喧哗。如将试题清单、备课纸等相关材料带离考场，按《国家教育考试违规处理办法》等规定进行处理。</w:t>
      </w:r>
    </w:p>
    <w:p w14:paraId="4CFDE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630" w:lineRule="atLeast"/>
        <w:ind w:left="0" w:right="0" w:firstLine="634"/>
        <w:rPr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八、考生应诚信参加考试，自觉服从考试工作人员管理，不得以任何理由妨碍考试工作人员履行职责，不得扰乱考场及其他考试工作场所的秩序。考生如有违纪、作弊等行为，将按照《国家教育考试违规处理办法》(33号令)等规定处理；有作弊情形的将依据《教师资格条例》的相关规定3年内禁止参加教师资格考试。如情节严重、触犯刑法，将报送公安部门，依法处理。</w:t>
      </w:r>
    </w:p>
    <w:p w14:paraId="6D6A6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210" w:lineRule="atLeast"/>
        <w:ind w:left="0" w:right="0"/>
      </w:pPr>
    </w:p>
    <w:p w14:paraId="2CA76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195" w:lineRule="atLeast"/>
        <w:ind w:left="0" w:right="0"/>
        <w:rPr>
          <w:sz w:val="19"/>
          <w:szCs w:val="19"/>
        </w:rPr>
      </w:pPr>
    </w:p>
    <w:p w14:paraId="639066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CE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2024-10-29T02:43:56Z</dcterms:created>
  <dc:creator>SX-T</dc:creator>
  <cp:lastModifiedBy>SX-T</cp:lastModifiedBy>
  <dcterms:modified xsi:type="dcterms:W3CDTF">2024-10-29T02:44:08Z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AB627583999847D88791B1DFA5BD42D5_12</vt:lpwstr>
  </property>
</Properties>
</file>