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exact"/>
        <w:jc w:val="both"/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1"/>
          <w:szCs w:val="31"/>
          <w:shd w:val="clear" w:color="auto" w:fill="FFFFFF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宜宾市</w:t>
      </w:r>
      <w:r>
        <w:rPr>
          <w:rFonts w:hint="eastAsia" w:ascii="微软雅黑" w:hAnsi="微软雅黑" w:eastAsia="微软雅黑" w:cs="微软雅黑"/>
          <w:sz w:val="32"/>
          <w:szCs w:val="32"/>
        </w:rPr>
        <w:t>南溪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区高中学校</w:t>
      </w:r>
      <w:r>
        <w:rPr>
          <w:rFonts w:hint="eastAsia" w:ascii="微软雅黑" w:hAnsi="微软雅黑" w:eastAsia="微软雅黑" w:cs="微软雅黑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年面向区内学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校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仿宋_GB2312" w:hAnsi="����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公开考调在编在职教师岗位表</w:t>
      </w:r>
    </w:p>
    <w:bookmarkEnd w:id="0"/>
    <w:tbl>
      <w:tblPr>
        <w:tblStyle w:val="3"/>
        <w:tblW w:w="9695" w:type="dxa"/>
        <w:tblInd w:w="-3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57"/>
        <w:gridCol w:w="735"/>
        <w:gridCol w:w="584"/>
        <w:gridCol w:w="804"/>
        <w:gridCol w:w="2256"/>
        <w:gridCol w:w="1008"/>
        <w:gridCol w:w="840"/>
        <w:gridCol w:w="816"/>
        <w:gridCol w:w="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条件要求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考调范围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考调方式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招聘单位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专业条件要求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四川省宜宾市南溪第一中学校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高中物理教师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本科（一级学科）：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物理学类；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研究生（一级学科）：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物理学，核科学与技术。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具有高级中学物理学科及以上教师资格证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区内初中、高中学校在编在职教师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面试（试讲）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宜宾市南溪区第二中学校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高中地理教师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本科（一级学科）：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地理科学类，地质学类；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研究生（一级学科）：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地理学，地质学。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具有高级中学地理学科及以上教师资格证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区内初中、高中学校在编在职教师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面试（试讲）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高中政治教师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本科（一级学科）：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政治学类、马克思主义理论类；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研究生（一级学科）：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政治学，马克思主义理论。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具有高级中学政治学科及以上教师资格证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区内初中、高中学校在编在职教师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面试（试讲）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高中音乐教师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一级学科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：音乐与舞蹈学类；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一级学科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：音乐、音乐学、舞蹈、音乐与舞蹈学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具有高级中学音乐学科及以上教师资格证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区内初中、高中学校在编在职教师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面试（试讲）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2D8B404C"/>
    <w:rsid w:val="2D8B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2024-07-09T02:37:00Z</dcterms:created>
  <dc:creator>李晓兰</dc:creator>
  <cp:lastModifiedBy>李晓兰</cp:lastModifiedBy>
  <dcterms:modified xsi:type="dcterms:W3CDTF">2024-07-09T02:37:32Z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B4131076D08648D29F782F593EDFA64C_11</vt:lpwstr>
  </property>
</Properties>
</file>