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 w:cs="方正黑体简体"/>
          <w:color w:val="auto"/>
          <w:sz w:val="28"/>
          <w:szCs w:val="28"/>
        </w:rPr>
      </w:pPr>
      <w:bookmarkStart w:id="0" w:name="_Hlk166528738"/>
      <w:bookmarkStart w:id="1" w:name="_Hlk166527869"/>
      <w:r>
        <w:rPr>
          <w:rFonts w:hint="eastAsia" w:ascii="仿宋" w:hAnsi="仿宋" w:eastAsia="仿宋" w:cs="方正黑体简体"/>
          <w:color w:val="auto"/>
          <w:sz w:val="28"/>
          <w:szCs w:val="28"/>
        </w:rPr>
        <w:t>附件1</w:t>
      </w:r>
      <w:bookmarkStart w:id="2" w:name="_GoBack"/>
      <w:bookmarkEnd w:id="2"/>
    </w:p>
    <w:p>
      <w:pPr>
        <w:spacing w:line="576" w:lineRule="exact"/>
        <w:jc w:val="center"/>
        <w:rPr>
          <w:rFonts w:ascii="仿宋" w:hAnsi="仿宋" w:eastAsia="仿宋" w:cs="方正小标宋简体"/>
          <w:color w:val="auto"/>
          <w:sz w:val="36"/>
          <w:szCs w:val="36"/>
        </w:rPr>
      </w:pPr>
      <w:r>
        <w:rPr>
          <w:rFonts w:hint="eastAsia" w:ascii="仿宋" w:hAnsi="仿宋" w:eastAsia="仿宋" w:cs="方正小标宋简体"/>
          <w:color w:val="auto"/>
          <w:sz w:val="36"/>
          <w:szCs w:val="36"/>
        </w:rPr>
        <w:t>广元市利州区高中学校2024年自主公开考核招聘师范院校毕业生岗位条件一览表</w:t>
      </w:r>
    </w:p>
    <w:p>
      <w:pPr>
        <w:spacing w:line="290" w:lineRule="exact"/>
        <w:jc w:val="center"/>
        <w:rPr>
          <w:rFonts w:ascii="仿宋" w:hAnsi="仿宋" w:eastAsia="仿宋"/>
          <w:color w:val="auto"/>
          <w:sz w:val="20"/>
          <w:szCs w:val="20"/>
        </w:rPr>
      </w:pPr>
    </w:p>
    <w:tbl>
      <w:tblPr>
        <w:tblStyle w:val="15"/>
        <w:tblW w:w="48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"/>
        <w:gridCol w:w="854"/>
        <w:gridCol w:w="916"/>
        <w:gridCol w:w="1244"/>
        <w:gridCol w:w="596"/>
        <w:gridCol w:w="666"/>
        <w:gridCol w:w="711"/>
        <w:gridCol w:w="4836"/>
        <w:gridCol w:w="1028"/>
        <w:gridCol w:w="100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5" w:hRule="atLeast"/>
          <w:tblHeader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招聘单位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 岗位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招聘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493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　　业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0"/>
                <w:szCs w:val="20"/>
              </w:rPr>
              <w:t>专业技术职务任职资格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5" w:hRule="atLeast"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利州区教育局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四川省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广元市宝轮中学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岗位十二级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高中语文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4937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研究生：中国语言文学、教育（学科教学-语文）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本科：汉语言文学、汉语言、应用语言学、中国语言与文化、中国语言文学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具有相应教师资格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利州区教育局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四川省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广元市宝轮中学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岗位十二级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高中数学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4937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研究生：数学、教育（学科教学-数学）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本科：数学与应用数学、信息与计算科学、数理基础科学、数据计算及应用、应用数学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具有相应教师资格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利州区教育局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四川省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广元市宝轮中学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岗位十二级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高中生物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研究生及以上</w:t>
            </w:r>
          </w:p>
        </w:tc>
        <w:tc>
          <w:tcPr>
            <w:tcW w:w="4937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研究生：生物学、草学、教育（学科教学-生物）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具有相应教师资格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7" w:hRule="atLeast"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利州区教育局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四川省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广元市宝轮中学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岗位十二级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高中物理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研究生及以上</w:t>
            </w:r>
          </w:p>
        </w:tc>
        <w:tc>
          <w:tcPr>
            <w:tcW w:w="4937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研究生：物理学、教育（学科教学-物理）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具有相应教师资格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0"/>
                <w:szCs w:val="20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8" w:hRule="atLeast"/>
          <w:jc w:val="center"/>
        </w:trPr>
        <w:tc>
          <w:tcPr>
            <w:tcW w:w="447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利州区教育局</w:t>
            </w:r>
          </w:p>
        </w:tc>
        <w:tc>
          <w:tcPr>
            <w:tcW w:w="93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eastAsia="zh-CN"/>
              </w:rPr>
              <w:t>四川省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广元市宝轮中学</w:t>
            </w:r>
          </w:p>
        </w:tc>
        <w:tc>
          <w:tcPr>
            <w:tcW w:w="1270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岗位十二级</w:t>
            </w:r>
          </w:p>
        </w:tc>
        <w:tc>
          <w:tcPr>
            <w:tcW w:w="60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高中政治</w:t>
            </w:r>
          </w:p>
        </w:tc>
        <w:tc>
          <w:tcPr>
            <w:tcW w:w="67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研究生及以上</w:t>
            </w:r>
          </w:p>
        </w:tc>
        <w:tc>
          <w:tcPr>
            <w:tcW w:w="4937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 xml:space="preserve">研究生：法学、政治学、马克思主义理论、教育（学科教学-思政）                                                                                               </w:t>
            </w:r>
          </w:p>
        </w:tc>
        <w:tc>
          <w:tcPr>
            <w:tcW w:w="1049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具有相应教师资格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025" w:type="dxa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auto"/>
                <w:spacing w:val="-1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pacing w:val="-16"/>
                <w:sz w:val="20"/>
                <w:szCs w:val="20"/>
              </w:rPr>
              <w:t>最低服务年限5年</w:t>
            </w:r>
          </w:p>
        </w:tc>
      </w:tr>
      <w:bookmarkEnd w:id="0"/>
      <w:bookmarkEnd w:id="1"/>
    </w:tbl>
    <w:p>
      <w:pPr>
        <w:rPr>
          <w:rFonts w:hint="eastAsia" w:ascii="仿宋" w:hAnsi="仿宋" w:eastAsia="仿宋"/>
          <w:color w:val="auto"/>
          <w:lang w:val="en-US" w:eastAsia="zh-CN"/>
        </w:rPr>
      </w:pPr>
      <w:r>
        <w:rPr>
          <w:rFonts w:hint="eastAsia" w:ascii="仿宋" w:hAnsi="仿宋" w:eastAsia="仿宋"/>
          <w:color w:val="auto"/>
          <w:lang w:val="en-US" w:eastAsia="zh-CN"/>
        </w:rPr>
        <w:t>=</w:t>
      </w:r>
    </w:p>
    <w:sectPr>
      <w:footerReference r:id="rId3" w:type="default"/>
      <w:pgSz w:w="16838" w:h="11906" w:orient="landscape"/>
      <w:pgMar w:top="1417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4E77641-FACD-4A4F-9EBB-1B0D861551BC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90A57C-5819-47FD-80C9-5485C3AE0713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C45BD271-E846-481F-A380-28CD3699F32A}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TIwMmUzZDllMTdkZjU4ZTVhYzY5OTkxM2EzZTgifQ=="/>
  </w:docVars>
  <w:rsids>
    <w:rsidRoot w:val="00463C97"/>
    <w:rsid w:val="00055A30"/>
    <w:rsid w:val="00131C8B"/>
    <w:rsid w:val="0013459E"/>
    <w:rsid w:val="001B6419"/>
    <w:rsid w:val="001E7A6A"/>
    <w:rsid w:val="00211376"/>
    <w:rsid w:val="00283767"/>
    <w:rsid w:val="002B5450"/>
    <w:rsid w:val="002D441D"/>
    <w:rsid w:val="003376C5"/>
    <w:rsid w:val="00346C1C"/>
    <w:rsid w:val="00426D81"/>
    <w:rsid w:val="00463C97"/>
    <w:rsid w:val="00486673"/>
    <w:rsid w:val="004B7645"/>
    <w:rsid w:val="004F6109"/>
    <w:rsid w:val="005A28F6"/>
    <w:rsid w:val="00677327"/>
    <w:rsid w:val="006A7AAF"/>
    <w:rsid w:val="006F06E6"/>
    <w:rsid w:val="00754352"/>
    <w:rsid w:val="007F3CD5"/>
    <w:rsid w:val="00873881"/>
    <w:rsid w:val="009030A6"/>
    <w:rsid w:val="009C59B3"/>
    <w:rsid w:val="00BD06D5"/>
    <w:rsid w:val="00BD2473"/>
    <w:rsid w:val="00C40219"/>
    <w:rsid w:val="00C5039A"/>
    <w:rsid w:val="00C70B5F"/>
    <w:rsid w:val="00CF1160"/>
    <w:rsid w:val="00D941BE"/>
    <w:rsid w:val="00E17AF8"/>
    <w:rsid w:val="00E96CAE"/>
    <w:rsid w:val="03563CB7"/>
    <w:rsid w:val="072916E2"/>
    <w:rsid w:val="11252F1A"/>
    <w:rsid w:val="129C42E0"/>
    <w:rsid w:val="146B2B0F"/>
    <w:rsid w:val="14976517"/>
    <w:rsid w:val="17C56399"/>
    <w:rsid w:val="1B4E4DE8"/>
    <w:rsid w:val="1C687B86"/>
    <w:rsid w:val="1E273F41"/>
    <w:rsid w:val="220936AA"/>
    <w:rsid w:val="221254BC"/>
    <w:rsid w:val="312E3CDF"/>
    <w:rsid w:val="33122EA7"/>
    <w:rsid w:val="343B642D"/>
    <w:rsid w:val="3A3E4084"/>
    <w:rsid w:val="43941371"/>
    <w:rsid w:val="4B684CEA"/>
    <w:rsid w:val="5192139C"/>
    <w:rsid w:val="52377DDC"/>
    <w:rsid w:val="524F1749"/>
    <w:rsid w:val="58077BB0"/>
    <w:rsid w:val="5A461F0B"/>
    <w:rsid w:val="60887579"/>
    <w:rsid w:val="66B33A1F"/>
    <w:rsid w:val="6942733B"/>
    <w:rsid w:val="719426FE"/>
    <w:rsid w:val="74FA2D89"/>
    <w:rsid w:val="783E3A02"/>
    <w:rsid w:val="78CF7915"/>
    <w:rsid w:val="7BBB046A"/>
    <w:rsid w:val="7D0067A0"/>
    <w:rsid w:val="7F6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Char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Char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Char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Char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Char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Char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Char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Char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Char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Char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明显强调1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Char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脚 Char"/>
    <w:basedOn w:val="16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36">
    <w:name w:val="页眉 Char"/>
    <w:basedOn w:val="16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468</Words>
  <Characters>2672</Characters>
  <Lines>22</Lines>
  <Paragraphs>6</Paragraphs>
  <TotalTime>6</TotalTime>
  <ScaleCrop>false</ScaleCrop>
  <LinksUpToDate>false</LinksUpToDate>
  <CharactersWithSpaces>3134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2024-05-13T13:21:00Z</dcterms:created>
  <dc:creator>e11242</dc:creator>
  <cp:lastModifiedBy>Café.</cp:lastModifiedBy>
  <cp:lastPrinted>2024-05-20T03:13:00Z</cp:lastPrinted>
  <dcterms:modified xsi:type="dcterms:W3CDTF">2024-05-20T07:53:30Z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99CEB2A8A49F4282962263205470AED5_13</vt:lpwstr>
  </property>
</Properties>
</file>