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仿宋" w:hAnsi="仿宋" w:eastAsia="仿宋"/>
          <w:sz w:val="32"/>
          <w:szCs w:val="32"/>
        </w:rPr>
      </w:pPr>
      <w:r>
        <w:rPr>
          <w:rFonts w:hint="eastAsia" w:ascii="仿宋" w:hAnsi="仿宋" w:eastAsia="仿宋"/>
          <w:sz w:val="32"/>
          <w:szCs w:val="32"/>
        </w:rPr>
        <w:t>附件3：</w:t>
      </w:r>
    </w:p>
    <w:p>
      <w:pPr>
        <w:spacing w:line="540" w:lineRule="exact"/>
        <w:ind w:firstLine="640" w:firstLineChars="200"/>
        <w:rPr>
          <w:rFonts w:ascii="仿宋" w:hAnsi="仿宋" w:eastAsia="仿宋"/>
          <w:sz w:val="32"/>
          <w:szCs w:val="32"/>
        </w:rPr>
      </w:pPr>
    </w:p>
    <w:p>
      <w:pPr>
        <w:overflowPunct w:val="0"/>
        <w:spacing w:line="560" w:lineRule="exact"/>
        <w:jc w:val="center"/>
        <w:rPr>
          <w:rFonts w:ascii="方正小标宋简体" w:eastAsia="方正小标宋简体"/>
          <w:sz w:val="44"/>
          <w:szCs w:val="44"/>
        </w:rPr>
      </w:pPr>
      <w:r>
        <w:rPr>
          <w:rFonts w:hint="eastAsia" w:ascii="方正小标宋_GBK" w:hAnsi="方正小标宋_GBK" w:eastAsia="方正小标宋_GBK" w:cs="方正小标宋_GBK"/>
          <w:bCs/>
          <w:sz w:val="44"/>
          <w:szCs w:val="44"/>
        </w:rPr>
        <w:t>报考指南</w:t>
      </w:r>
    </w:p>
    <w:p>
      <w:pPr>
        <w:overflowPunct w:val="0"/>
        <w:spacing w:line="560" w:lineRule="exact"/>
        <w:ind w:firstLine="640"/>
        <w:rPr>
          <w:rFonts w:ascii="仿宋_GB2312" w:eastAsia="仿宋_GB2312"/>
          <w:sz w:val="32"/>
          <w:szCs w:val="32"/>
        </w:rPr>
      </w:pPr>
      <w:r>
        <w:rPr>
          <w:rFonts w:hint="eastAsia" w:ascii="黑体" w:hAnsi="黑体" w:eastAsia="黑体"/>
          <w:sz w:val="32"/>
          <w:szCs w:val="32"/>
        </w:rPr>
        <w:t>一、关于报考资格条件</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1.报考人员可否用非最高学历专业报考？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可以。以非最高学历专业报考的，须提供符合招聘岗位专业要求的毕业证书、学位证书等证明材料。</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2.国（境）外学历、学位人员需要提供哪些材料？</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留学回国人员需提供由教育部留学服务中心出具的国（境）外学历、学位认证函等有关证明材料。报考人员可登录教育部留学服务中心网站（http://www.cscse.edu.cn）查询认证的有关要求和程序。在国（境）内就读取得国（境）外学历、学位的人员，需取得由教育部所属的相关机构出具的学历、学位认证函。上述材料应在面试前资格审核时与其他材料一并交招聘单位审核。</w:t>
      </w:r>
    </w:p>
    <w:p>
      <w:pPr>
        <w:spacing w:line="54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3.考生应如何选择专业报考？</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此次公开招聘参照《广东省2024年考试录用公务员专业参考目录》进行专业设置。岗位表中的“专业”要求为“专业大类”的（代码为2位数的），如应聘人员所学专业为该“专业大类”所含“学科”（代码为4位数）或“具体专业”（代码为6位数）的，均符合报考条件。</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应聘人员所学专业按所获毕业证书上的专业为准。所学专业与专业目录中的专业名称完全相同的直接在报名系统的专业列表中进行选择。所学专业为旧专业的按对应的专业名称选择，旧专业后面注明“部分”的，征询招聘单位同意后报考。所学专业未列入专业目录的，可选择专业目录中相近专业报考。未如实填写的，造成报名系统无法识别以及其他一切后果由报考人员本人自负。</w:t>
      </w:r>
    </w:p>
    <w:p>
      <w:pPr>
        <w:spacing w:line="540" w:lineRule="exact"/>
        <w:ind w:firstLine="643" w:firstLineChars="200"/>
        <w:rPr>
          <w:rFonts w:ascii="楷体" w:hAnsi="楷体" w:eastAsia="楷体"/>
          <w:b/>
          <w:bCs/>
          <w:sz w:val="32"/>
          <w:szCs w:val="32"/>
        </w:rPr>
      </w:pPr>
      <w:r>
        <w:rPr>
          <w:rFonts w:hint="eastAsia" w:ascii="楷体" w:hAnsi="楷体" w:eastAsia="楷体"/>
          <w:b/>
          <w:bCs/>
          <w:sz w:val="32"/>
          <w:szCs w:val="32"/>
        </w:rPr>
        <w:t>4.考生若以相近专业报考有什么要求？</w:t>
      </w:r>
    </w:p>
    <w:p>
      <w:pPr>
        <w:spacing w:line="540" w:lineRule="exact"/>
        <w:ind w:firstLine="640" w:firstLineChars="200"/>
        <w:rPr>
          <w:rFonts w:ascii="楷体_GB2312" w:hAnsi="楷体_GB2312" w:eastAsia="楷体_GB2312" w:cs="楷体_GB2312"/>
          <w:b/>
          <w:bCs/>
          <w:sz w:val="32"/>
          <w:szCs w:val="32"/>
        </w:rPr>
      </w:pPr>
      <w:r>
        <w:rPr>
          <w:rFonts w:hint="eastAsia" w:ascii="仿宋" w:hAnsi="仿宋" w:eastAsia="仿宋"/>
          <w:sz w:val="32"/>
          <w:szCs w:val="32"/>
        </w:rPr>
        <w:t>考生所学专业已列入专业目录列表的，不得报考所学专业代码与招聘岗位专业代码不一致的岗位。若所学专业未列入专业目录（没有专业代码）的，可选择专业目录中的相近专业报考，所学专业必修课程须与报考岗位要求专业的主要课程基本一致，并在资格审核时提供毕业证书、所学专业课程成绩单（须教务处盖章）、院校出具的课程对比情况说明及毕业院校设置专业的依据等材料。</w:t>
      </w:r>
    </w:p>
    <w:p>
      <w:pPr>
        <w:overflowPunct w:val="0"/>
        <w:spacing w:line="560" w:lineRule="exact"/>
        <w:ind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5.在读的留学人员可否以已取得的国内学历学位报考？</w:t>
      </w:r>
    </w:p>
    <w:p>
      <w:pPr>
        <w:overflowPunct w:val="0"/>
        <w:spacing w:line="560" w:lineRule="exact"/>
        <w:ind w:firstLine="640"/>
        <w:rPr>
          <w:rFonts w:ascii="仿宋_GB2312" w:eastAsia="仿宋_GB2312"/>
          <w:sz w:val="32"/>
          <w:szCs w:val="32"/>
        </w:rPr>
      </w:pPr>
      <w:r>
        <w:rPr>
          <w:rFonts w:hint="eastAsia" w:ascii="仿宋_GB2312" w:eastAsia="仿宋_GB2312"/>
          <w:sz w:val="32"/>
          <w:szCs w:val="32"/>
        </w:rPr>
        <w:t>不可报考。在读的留学人员既不能以其尚未取得的国（境）外学历学位证书进行报考，也不能以已取得的国内学历学位证书进行报考。</w:t>
      </w:r>
    </w:p>
    <w:p>
      <w:pPr>
        <w:overflowPunct w:val="0"/>
        <w:spacing w:line="560" w:lineRule="exact"/>
        <w:ind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6.留学回国人员能否以其尚未取得的相应国（境）外学历学位证书进行报考？</w:t>
      </w:r>
    </w:p>
    <w:p>
      <w:pPr>
        <w:overflowPunct w:val="0"/>
        <w:spacing w:line="560" w:lineRule="exact"/>
        <w:ind w:firstLine="640"/>
        <w:rPr>
          <w:rFonts w:ascii="仿宋_GB2312" w:eastAsia="仿宋_GB2312"/>
          <w:sz w:val="32"/>
          <w:szCs w:val="32"/>
        </w:rPr>
      </w:pPr>
      <w:r>
        <w:rPr>
          <w:rFonts w:hint="eastAsia" w:ascii="仿宋_GB2312" w:eastAsia="仿宋_GB2312"/>
          <w:sz w:val="32"/>
          <w:szCs w:val="32"/>
        </w:rPr>
        <w:t>不能。留学回国人员以国（境）外学历学位报考的，须于报名首日前取得相应的国（境）外学历学位证书，并提供教育部留学服务中心出具的学历、学位认证函及有关证明材料。报考人员可登录教育部留学服务中心网站（http://www.cscse.edu.cn）查询认证的有关要求和程序。学历、学位认证材料和有关证明材料等，应在报名时与其他材料一并交招聘单位审核。</w:t>
      </w:r>
    </w:p>
    <w:p>
      <w:pPr>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7.</w:t>
      </w:r>
      <w:r>
        <w:rPr>
          <w:rFonts w:hint="eastAsia" w:ascii="楷体_GB2312" w:hAnsi="楷体_GB2312" w:eastAsia="楷体_GB2312" w:cs="楷体_GB2312"/>
          <w:b/>
          <w:sz w:val="32"/>
          <w:szCs w:val="32"/>
        </w:rPr>
        <w:t>在职在</w:t>
      </w:r>
      <w:r>
        <w:rPr>
          <w:rFonts w:hint="eastAsia" w:ascii="楷体_GB2312" w:hAnsi="楷体_GB2312" w:eastAsia="楷体_GB2312" w:cs="楷体_GB2312"/>
          <w:b/>
          <w:sz w:val="32"/>
          <w:szCs w:val="32"/>
          <w:lang w:val="en-US" w:eastAsia="zh-CN"/>
        </w:rPr>
        <w:t>编教师</w:t>
      </w:r>
      <w:r>
        <w:rPr>
          <w:rFonts w:hint="eastAsia" w:ascii="楷体_GB2312" w:hAnsi="楷体_GB2312" w:eastAsia="楷体_GB2312" w:cs="楷体_GB2312"/>
          <w:b/>
          <w:kern w:val="0"/>
          <w:sz w:val="32"/>
          <w:szCs w:val="32"/>
        </w:rPr>
        <w:t>报考“须征得工作单位同意”，如何办理？</w:t>
      </w:r>
    </w:p>
    <w:p>
      <w:pPr>
        <w:overflowPunct w:val="0"/>
        <w:spacing w:line="560" w:lineRule="exact"/>
        <w:ind w:firstLine="640"/>
        <w:rPr>
          <w:rFonts w:ascii="仿宋_GB2312" w:eastAsia="仿宋_GB2312"/>
          <w:sz w:val="32"/>
          <w:szCs w:val="32"/>
        </w:rPr>
      </w:pPr>
      <w:r>
        <w:rPr>
          <w:rFonts w:hint="eastAsia" w:ascii="仿宋_GB2312" w:eastAsia="仿宋_GB2312"/>
          <w:sz w:val="32"/>
          <w:szCs w:val="32"/>
        </w:rPr>
        <w:t>应聘人员在现场资格复审时提交工作单位上级人事主管部门或县区级以上教育主管部门出具的同意报考证明；未按时按要求提交的，不列为面试人选，不得参加面试。</w:t>
      </w:r>
    </w:p>
    <w:p>
      <w:pPr>
        <w:adjustRightInd w:val="0"/>
        <w:spacing w:line="560" w:lineRule="exact"/>
        <w:ind w:firstLine="643" w:firstLineChars="200"/>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8.如何理解“聘用后即构成回避关系”?</w:t>
      </w:r>
    </w:p>
    <w:p>
      <w:pPr>
        <w:adjustRightInd w:val="0"/>
        <w:spacing w:line="560" w:lineRule="exact"/>
        <w:ind w:firstLine="640" w:firstLineChars="200"/>
        <w:rPr>
          <w:rFonts w:ascii="仿宋_GB2312" w:hAnsi="仿宋_GB2312" w:eastAsia="仿宋_GB2312" w:cs="仿宋_GB2312"/>
          <w:sz w:val="32"/>
          <w:szCs w:val="32"/>
        </w:rPr>
      </w:pPr>
      <w:r>
        <w:rPr>
          <w:rFonts w:ascii="Times New Roman" w:hAnsi="Times New Roman" w:eastAsia="仿宋_GB2312"/>
          <w:kern w:val="0"/>
          <w:sz w:val="32"/>
          <w:szCs w:val="32"/>
        </w:rPr>
        <w:t>按照《事业单位人事管理回避规定》第六条、第七条、第十条等相关规定执行。其他法律法规规定的有应予</w:t>
      </w:r>
      <w:r>
        <w:rPr>
          <w:rFonts w:hint="eastAsia" w:eastAsia="仿宋_GB2312"/>
          <w:kern w:val="0"/>
          <w:sz w:val="32"/>
          <w:szCs w:val="32"/>
        </w:rPr>
        <w:t>以</w:t>
      </w:r>
      <w:r>
        <w:rPr>
          <w:rFonts w:ascii="Times New Roman" w:hAnsi="Times New Roman" w:eastAsia="仿宋_GB2312"/>
          <w:kern w:val="0"/>
          <w:sz w:val="32"/>
          <w:szCs w:val="32"/>
        </w:rPr>
        <w:t>回避的情形，从其规定。</w:t>
      </w:r>
    </w:p>
    <w:p>
      <w:pPr>
        <w:overflowPunct w:val="0"/>
        <w:adjustRightInd w:val="0"/>
        <w:spacing w:line="560" w:lineRule="exact"/>
        <w:ind w:firstLine="640"/>
        <w:rPr>
          <w:rFonts w:ascii="仿宋_GB2312" w:eastAsia="仿宋_GB2312"/>
          <w:sz w:val="32"/>
          <w:szCs w:val="32"/>
        </w:rPr>
      </w:pPr>
      <w:r>
        <w:rPr>
          <w:rFonts w:hint="eastAsia" w:ascii="黑体" w:hAnsi="黑体" w:eastAsia="黑体"/>
          <w:sz w:val="32"/>
          <w:szCs w:val="32"/>
        </w:rPr>
        <w:t>二、关于报名程序</w:t>
      </w:r>
    </w:p>
    <w:p>
      <w:pPr>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9.如何报名？</w:t>
      </w:r>
      <w:bookmarkStart w:id="0" w:name="_GoBack"/>
      <w:bookmarkEnd w:id="0"/>
    </w:p>
    <w:p>
      <w:pPr>
        <w:spacing w:line="54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本次招聘实行网络报名，</w:t>
      </w:r>
      <w:r>
        <w:rPr>
          <w:rFonts w:ascii="仿宋_GB2312" w:hAnsi="仿宋" w:eastAsia="仿宋_GB2312" w:cs="宋体"/>
          <w:kern w:val="0"/>
          <w:sz w:val="32"/>
          <w:szCs w:val="32"/>
        </w:rPr>
        <w:t>自</w:t>
      </w:r>
      <w:r>
        <w:rPr>
          <w:rFonts w:hint="eastAsia" w:ascii="仿宋_GB2312" w:hAnsi="仿宋" w:eastAsia="仿宋_GB2312" w:cs="宋体"/>
          <w:kern w:val="0"/>
          <w:sz w:val="32"/>
          <w:szCs w:val="32"/>
        </w:rPr>
        <w:t>报名开始</w:t>
      </w:r>
      <w:r>
        <w:rPr>
          <w:rFonts w:ascii="仿宋_GB2312" w:hAnsi="仿宋" w:eastAsia="仿宋_GB2312" w:cs="宋体"/>
          <w:kern w:val="0"/>
          <w:sz w:val="32"/>
          <w:szCs w:val="32"/>
        </w:rPr>
        <w:t>之日起，符合公开招聘岗位资格条件的人员，</w:t>
      </w:r>
      <w:r>
        <w:rPr>
          <w:rFonts w:hint="eastAsia" w:ascii="仿宋_GB2312" w:hAnsi="仿宋" w:eastAsia="仿宋_GB2312" w:cs="宋体"/>
          <w:kern w:val="0"/>
          <w:sz w:val="32"/>
          <w:szCs w:val="32"/>
        </w:rPr>
        <w:t>要</w:t>
      </w:r>
      <w:r>
        <w:rPr>
          <w:rFonts w:ascii="仿宋_GB2312" w:hAnsi="仿宋" w:eastAsia="仿宋_GB2312" w:cs="宋体"/>
          <w:kern w:val="0"/>
          <w:sz w:val="32"/>
          <w:szCs w:val="32"/>
        </w:rPr>
        <w:t>将</w:t>
      </w:r>
      <w:r>
        <w:rPr>
          <w:rFonts w:hint="eastAsia" w:ascii="仿宋_GB2312" w:hAnsi="仿宋" w:eastAsia="仿宋_GB2312" w:cs="宋体"/>
          <w:kern w:val="0"/>
          <w:sz w:val="32"/>
          <w:szCs w:val="32"/>
        </w:rPr>
        <w:t>所有报名</w:t>
      </w:r>
      <w:r>
        <w:rPr>
          <w:rFonts w:ascii="仿宋_GB2312" w:hAnsi="仿宋" w:eastAsia="仿宋_GB2312" w:cs="宋体"/>
          <w:kern w:val="0"/>
          <w:sz w:val="32"/>
          <w:szCs w:val="32"/>
        </w:rPr>
        <w:t>材料扫描件</w:t>
      </w:r>
      <w:r>
        <w:rPr>
          <w:rFonts w:hint="eastAsia" w:ascii="仿宋_GB2312" w:hAnsi="仿宋" w:eastAsia="仿宋_GB2312" w:cs="宋体"/>
          <w:kern w:val="0"/>
          <w:sz w:val="32"/>
          <w:szCs w:val="32"/>
        </w:rPr>
        <w:t>按照招聘公告和报名系统要求一次性提交完成报名。</w:t>
      </w:r>
    </w:p>
    <w:p>
      <w:pPr>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10.网络报名是否进行资格审查，如何理解诚信报考？</w:t>
      </w:r>
    </w:p>
    <w:p>
      <w:pPr>
        <w:spacing w:line="540" w:lineRule="exact"/>
        <w:ind w:firstLine="640" w:firstLineChars="200"/>
        <w:rPr>
          <w:rFonts w:ascii="仿宋_GB2312" w:eastAsia="仿宋_GB2312"/>
          <w:sz w:val="32"/>
          <w:szCs w:val="32"/>
        </w:rPr>
      </w:pPr>
      <w:r>
        <w:rPr>
          <w:rFonts w:hint="eastAsia" w:ascii="仿宋_GB2312" w:hAnsi="仿宋" w:eastAsia="仿宋_GB2312" w:cs="宋体"/>
          <w:kern w:val="0"/>
          <w:sz w:val="32"/>
          <w:szCs w:val="32"/>
        </w:rPr>
        <w:t>本次招聘网络报名实行诚信报考，报考人员所提交的所有报名材料必须真实。请报考人员认真阅读招聘公告、附件和本《报考指南》，严格遵守诚信承诺，结合自己的实际情况和招聘单位的岗位要求，选择与本人条件相符的岗位。报考人员须如实填写有关信息，不得虚报、隐瞒有关情况，不得弄虚作假以骗取考试资格，不得为“试考”虚假报名，以免干扰正常的报名秩序、浪</w:t>
      </w:r>
      <w:r>
        <w:rPr>
          <w:rFonts w:hint="eastAsia" w:ascii="仿宋_GB2312" w:eastAsia="仿宋_GB2312"/>
          <w:sz w:val="32"/>
          <w:szCs w:val="32"/>
        </w:rPr>
        <w:t>费国家资源。报名结束后网上报名系统即时关闭，资格审核期间，考生报名时提交的附件或报名信息不合格者，视为资格初审不通过，不再给予补交或修改。</w:t>
      </w:r>
    </w:p>
    <w:p>
      <w:pPr>
        <w:widowControl/>
        <w:overflowPunct w:val="0"/>
        <w:adjustRightInd w:val="0"/>
        <w:spacing w:line="560" w:lineRule="exact"/>
        <w:ind w:firstLine="640"/>
        <w:rPr>
          <w:rFonts w:ascii="仿宋_GB2312" w:hAnsi="仿宋" w:eastAsia="仿宋_GB2312" w:cs="宋体"/>
          <w:kern w:val="0"/>
          <w:sz w:val="32"/>
          <w:szCs w:val="32"/>
        </w:rPr>
      </w:pPr>
      <w:r>
        <w:rPr>
          <w:rFonts w:hint="eastAsia" w:ascii="仿宋_GB2312" w:eastAsia="仿宋_GB2312"/>
          <w:sz w:val="32"/>
          <w:szCs w:val="32"/>
        </w:rPr>
        <w:t>对未能提供完整资料，或经查实提供虚假报名材料以及伪造、更改有关证件、材料、信息骗取报名资格的，取消报考资格。涉嫌违法犯罪的，移送司法机关处理。</w:t>
      </w:r>
    </w:p>
    <w:p>
      <w:pPr>
        <w:widowControl/>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11.填写报名表信息需要注意什么？</w:t>
      </w:r>
    </w:p>
    <w:p>
      <w:pPr>
        <w:overflowPunct w:val="0"/>
        <w:adjustRightInd w:val="0"/>
        <w:spacing w:line="560" w:lineRule="exact"/>
        <w:ind w:firstLine="640"/>
        <w:rPr>
          <w:rFonts w:ascii="楷体_GB2312" w:hAnsi="楷体_GB2312" w:eastAsia="楷体_GB2312" w:cs="楷体_GB2312"/>
          <w:b/>
          <w:kern w:val="0"/>
          <w:sz w:val="32"/>
          <w:szCs w:val="32"/>
        </w:rPr>
      </w:pPr>
      <w:r>
        <w:rPr>
          <w:rFonts w:hint="eastAsia" w:ascii="仿宋_GB2312" w:hAnsi="仿宋" w:eastAsia="仿宋_GB2312" w:cs="宋体"/>
          <w:kern w:val="0"/>
          <w:sz w:val="32"/>
          <w:szCs w:val="32"/>
        </w:rPr>
        <w:t>填写报名表信息必须真实、全面、准确，对学习和工作经历栏目，应按时间先后顺序，从高中开始，填写何年何月至何年何月在何地、何单位学习工作、任何职。对大学期间的学习经历，须填写清楚学校、院系、专业名称。为方便招聘单位审核是否构成回避关系职位，家庭成员及主要社会关系不得漏填，以免影响审核。填写报名信息如有隐瞒、虚报、欺骗、作假等行为，一经查实，取消报考资格，并需承担相应的法律后果和责任。</w:t>
      </w:r>
    </w:p>
    <w:p>
      <w:pPr>
        <w:widowControl/>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12.考生在报名时间上有何需要注意？</w:t>
      </w:r>
    </w:p>
    <w:p>
      <w:pPr>
        <w:overflowPunct w:val="0"/>
        <w:adjustRightInd w:val="0"/>
        <w:spacing w:line="56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考生可在公告规定的报名时间内报名。建议考生根据本人的意愿和职业规划等提前选择报考岗位，不要等到最后才匆忙报名，以免因个人资料不全等原因影响报名而造成遗憾。</w:t>
      </w:r>
    </w:p>
    <w:p>
      <w:pPr>
        <w:widowControl/>
        <w:overflowPunct w:val="0"/>
        <w:adjustRightInd w:val="0"/>
        <w:spacing w:line="560" w:lineRule="exact"/>
        <w:ind w:firstLine="643"/>
        <w:rPr>
          <w:rFonts w:ascii="楷体_GB2312" w:hAnsi="楷体_GB2312" w:eastAsia="楷体_GB2312" w:cs="楷体_GB2312"/>
          <w:b/>
          <w:kern w:val="0"/>
          <w:sz w:val="32"/>
          <w:szCs w:val="32"/>
          <w:highlight w:val="yellow"/>
        </w:rPr>
      </w:pPr>
      <w:r>
        <w:rPr>
          <w:rFonts w:hint="eastAsia" w:ascii="楷体_GB2312" w:hAnsi="楷体_GB2312" w:eastAsia="楷体_GB2312" w:cs="楷体_GB2312"/>
          <w:b/>
          <w:kern w:val="0"/>
          <w:sz w:val="32"/>
          <w:szCs w:val="32"/>
        </w:rPr>
        <w:t>13.报考人员是否可以更改报考岗位？</w:t>
      </w:r>
    </w:p>
    <w:p>
      <w:pPr>
        <w:overflowPunct w:val="0"/>
        <w:adjustRightInd w:val="0"/>
        <w:spacing w:line="56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报考人员完成网络报名后,报名时间截止后，不能再改报其他岗位。</w:t>
      </w:r>
    </w:p>
    <w:p>
      <w:pPr>
        <w:overflowPunct w:val="0"/>
        <w:adjustRightInd w:val="0"/>
        <w:spacing w:line="560" w:lineRule="exact"/>
        <w:ind w:firstLine="640"/>
        <w:rPr>
          <w:rFonts w:ascii="仿宋_GB2312" w:hAnsi="仿宋" w:eastAsia="仿宋_GB2312" w:cs="宋体"/>
          <w:kern w:val="0"/>
          <w:sz w:val="32"/>
          <w:szCs w:val="32"/>
        </w:rPr>
      </w:pPr>
      <w:r>
        <w:rPr>
          <w:rFonts w:hint="eastAsia" w:ascii="黑体" w:hAnsi="黑体" w:eastAsia="黑体"/>
          <w:sz w:val="32"/>
          <w:szCs w:val="32"/>
        </w:rPr>
        <w:t>三、关于考试及体检</w:t>
      </w:r>
    </w:p>
    <w:p>
      <w:pPr>
        <w:widowControl/>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14.如果居民身份证遗失或正在办理中，怎样处理方可参加考试或体检？</w:t>
      </w:r>
    </w:p>
    <w:p>
      <w:pPr>
        <w:overflowPunct w:val="0"/>
        <w:adjustRightInd w:val="0"/>
        <w:spacing w:line="56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在笔试准考证、面试和体检公告上，都会要求考生必须带齐笔试准考证、居民身份证方可参加考试或体检。如居民身份证失效、遗失或更换中的，应当及时向公安机关申请办理临时居民身份证，凭笔试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widowControl/>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15.笔试如何安排？</w:t>
      </w:r>
    </w:p>
    <w:p>
      <w:pPr>
        <w:overflowPunct w:val="0"/>
        <w:adjustRightInd w:val="0"/>
        <w:spacing w:line="560" w:lineRule="exact"/>
        <w:ind w:firstLine="640"/>
        <w:rPr>
          <w:rFonts w:ascii="仿宋_GB2312" w:hAnsi="仿宋" w:eastAsia="仿宋_GB2312" w:cs="宋体"/>
          <w:kern w:val="0"/>
          <w:sz w:val="32"/>
          <w:szCs w:val="32"/>
        </w:rPr>
      </w:pPr>
      <w:r>
        <w:rPr>
          <w:rFonts w:hint="eastAsia" w:ascii="仿宋_GB2312" w:hAnsi="仿宋" w:eastAsia="仿宋_GB2312"/>
          <w:sz w:val="32"/>
          <w:szCs w:val="32"/>
          <w:shd w:val="clear" w:color="auto" w:fill="FFFFFF"/>
        </w:rPr>
        <w:t>笔试具体时间、地点及注意事项详见准考证和笔试公告。</w:t>
      </w:r>
    </w:p>
    <w:p>
      <w:pPr>
        <w:widowControl/>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16.如果报考人员在报名参加此次公开招聘时符合报考条件，但在招聘过程中，被录用为公务员（被聘用为事业单位职员）或遇有其它不可抗拒情况需缺考时，应如何处理？</w:t>
      </w:r>
    </w:p>
    <w:p>
      <w:pPr>
        <w:overflowPunct w:val="0"/>
        <w:adjustRightInd w:val="0"/>
        <w:spacing w:line="56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报考人员在参加此次公开招聘过程中，被录用为公务员（或被聘用为事业单位职员）或遇有其它不可抗拒情况，报考人员应立即如实向招聘单位报告情况，并中止参加此次公开招聘，招聘单位不再将其列为考试、体检、考察人选。</w:t>
      </w:r>
    </w:p>
    <w:p>
      <w:pPr>
        <w:widowControl/>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17.面试的方式、时间、地点和要求？</w:t>
      </w:r>
    </w:p>
    <w:p>
      <w:pPr>
        <w:overflowPunct w:val="0"/>
        <w:adjustRightInd w:val="0"/>
        <w:spacing w:line="560" w:lineRule="exact"/>
        <w:ind w:firstLine="640"/>
        <w:rPr>
          <w:rFonts w:ascii="仿宋_GB2312" w:hAnsi="仿宋" w:eastAsia="仿宋_GB2312" w:cs="宋体"/>
          <w:kern w:val="0"/>
          <w:sz w:val="32"/>
          <w:szCs w:val="32"/>
        </w:rPr>
      </w:pPr>
      <w:r>
        <w:rPr>
          <w:rFonts w:hint="eastAsia" w:ascii="仿宋_GB2312" w:hAnsi="仿宋" w:eastAsia="仿宋_GB2312" w:cs="仿宋_GB2312"/>
          <w:sz w:val="32"/>
          <w:szCs w:val="32"/>
        </w:rPr>
        <w:t>面试方式、时间、地点和要求将在发布招聘公告的</w:t>
      </w:r>
      <w:r>
        <w:rPr>
          <w:rFonts w:hint="eastAsia" w:ascii="仿宋_GB2312" w:eastAsia="仿宋_GB2312"/>
          <w:sz w:val="32"/>
          <w:szCs w:val="32"/>
        </w:rPr>
        <w:t>区管委会门户网站及其部门频道（区教育文化卫生健康局）版面以面试公告的形式</w:t>
      </w:r>
      <w:r>
        <w:rPr>
          <w:rFonts w:hint="eastAsia" w:ascii="仿宋_GB2312" w:hAnsi="仿宋" w:eastAsia="仿宋_GB2312" w:cs="仿宋_GB2312"/>
          <w:sz w:val="32"/>
          <w:szCs w:val="32"/>
        </w:rPr>
        <w:t>另行发布。</w:t>
      </w:r>
    </w:p>
    <w:p>
      <w:pPr>
        <w:widowControl/>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18.哪些情况要复检，复检程序是什么？</w:t>
      </w:r>
    </w:p>
    <w:p>
      <w:pPr>
        <w:overflowPunct w:val="0"/>
        <w:adjustRightInd w:val="0"/>
        <w:spacing w:line="560" w:lineRule="exact"/>
        <w:ind w:firstLine="640"/>
        <w:rPr>
          <w:sz w:val="32"/>
          <w:szCs w:val="32"/>
        </w:rPr>
      </w:pPr>
      <w:r>
        <w:rPr>
          <w:rFonts w:hint="eastAsia" w:ascii="仿宋_GB2312" w:hAnsi="仿宋" w:eastAsia="仿宋_GB2312" w:cs="宋体"/>
          <w:kern w:val="0"/>
          <w:sz w:val="32"/>
          <w:szCs w:val="32"/>
        </w:rPr>
        <w:t>体检医疗机构和体检医师根据体检项目的特点，区别不同情况进行检查和复检。对心率、视力、听力、血压等项目达不到体检合格标准的，应安排当日复检；对边缘性心脏杂音、病理性心电图、病理性杂音、频发早搏（心电图证实）等项目达不到体检合格标准的，应安排当场复检。考生对非当日、非当场复检的体检项目结果有疑问时，可以在接到体检结论通知之日起3个工作日内，向体检实施单位提交复检申请。体检实施单位</w:t>
      </w:r>
      <w:r>
        <w:rPr>
          <w:rFonts w:ascii="Times New Roman" w:hAnsi="Times New Roman" w:eastAsia="仿宋_GB2312"/>
          <w:kern w:val="0"/>
          <w:sz w:val="32"/>
          <w:szCs w:val="32"/>
        </w:rPr>
        <w:t>应在收到复检要求10个工作日内组织复检。复检原则上应更换到不低于原体检医院等级的其他符合资质的医院进行。复检医院由</w:t>
      </w:r>
      <w:r>
        <w:rPr>
          <w:rFonts w:hint="eastAsia" w:ascii="Times New Roman" w:hAnsi="Times New Roman" w:eastAsia="仿宋_GB2312"/>
          <w:kern w:val="0"/>
          <w:sz w:val="32"/>
          <w:szCs w:val="32"/>
        </w:rPr>
        <w:t>区组织人社部门</w:t>
      </w:r>
      <w:r>
        <w:rPr>
          <w:rFonts w:ascii="Times New Roman" w:hAnsi="Times New Roman" w:eastAsia="仿宋_GB2312"/>
          <w:kern w:val="0"/>
          <w:sz w:val="32"/>
          <w:szCs w:val="32"/>
        </w:rPr>
        <w:t>指定。复检只能进行1次，体检结果以复检结论为准。</w:t>
      </w:r>
    </w:p>
    <w:p>
      <w:pPr>
        <w:widowControl/>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三、其他事项</w:t>
      </w:r>
    </w:p>
    <w:p>
      <w:pPr>
        <w:adjustRightInd w:val="0"/>
        <w:spacing w:line="560" w:lineRule="exact"/>
        <w:ind w:firstLine="643" w:firstLineChars="200"/>
        <w:rPr>
          <w:rFonts w:ascii="Times New Roman" w:hAnsi="Times New Roman" w:eastAsia="楷体_GB2312"/>
          <w:b/>
          <w:kern w:val="0"/>
          <w:sz w:val="32"/>
          <w:szCs w:val="32"/>
        </w:rPr>
      </w:pPr>
      <w:r>
        <w:rPr>
          <w:rFonts w:hint="eastAsia" w:eastAsia="楷体_GB2312"/>
          <w:b/>
          <w:kern w:val="0"/>
          <w:sz w:val="32"/>
          <w:szCs w:val="32"/>
        </w:rPr>
        <w:t>19</w:t>
      </w:r>
      <w:r>
        <w:rPr>
          <w:rFonts w:hint="eastAsia" w:ascii="楷体_GB2312" w:hAnsi="楷体_GB2312" w:eastAsia="楷体_GB2312" w:cs="楷体_GB2312"/>
          <w:b/>
          <w:kern w:val="0"/>
          <w:sz w:val="32"/>
          <w:szCs w:val="32"/>
        </w:rPr>
        <w:t>.</w:t>
      </w:r>
      <w:r>
        <w:rPr>
          <w:rFonts w:ascii="Times New Roman" w:hAnsi="Times New Roman" w:eastAsia="楷体_GB2312"/>
          <w:b/>
          <w:kern w:val="0"/>
          <w:sz w:val="32"/>
          <w:szCs w:val="32"/>
        </w:rPr>
        <w:t>对违纪违规行为，有哪几种处理方式？</w:t>
      </w:r>
    </w:p>
    <w:p>
      <w:pPr>
        <w:adjustRightInd w:val="0"/>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考生有违纪违规行为的，根据《事业单位公开招聘违纪违规行为处理规定》，分别给予取消应聘资格、考试成绩无效、记入事业单位公开招聘应聘人员诚信档案库等相应处理。</w:t>
      </w:r>
    </w:p>
    <w:p>
      <w:pPr>
        <w:widowControl/>
        <w:overflowPunct w:val="0"/>
        <w:adjustRightInd w:val="0"/>
        <w:spacing w:line="560" w:lineRule="exact"/>
        <w:ind w:firstLine="643"/>
        <w:rPr>
          <w:rFonts w:ascii="仿宋_GB2312" w:hAnsi="楷体" w:eastAsia="仿宋_GB2312"/>
          <w:b/>
          <w:kern w:val="0"/>
          <w:sz w:val="32"/>
          <w:szCs w:val="32"/>
        </w:rPr>
      </w:pPr>
      <w:r>
        <w:rPr>
          <w:rFonts w:hint="eastAsia" w:ascii="楷体_GB2312" w:hAnsi="楷体_GB2312" w:eastAsia="楷体_GB2312" w:cs="楷体_GB2312"/>
          <w:b/>
          <w:kern w:val="0"/>
          <w:sz w:val="32"/>
          <w:szCs w:val="32"/>
        </w:rPr>
        <w:t>20.《刑法》对于考试作弊有哪些新规定？</w:t>
      </w:r>
    </w:p>
    <w:p>
      <w:pPr>
        <w:widowControl/>
        <w:overflowPunct w:val="0"/>
        <w:adjustRightInd w:val="0"/>
        <w:spacing w:line="560" w:lineRule="exact"/>
        <w:ind w:firstLine="640"/>
        <w:rPr>
          <w:rFonts w:ascii="仿宋_GB2312" w:eastAsia="仿宋_GB2312"/>
          <w:kern w:val="0"/>
          <w:sz w:val="32"/>
          <w:szCs w:val="32"/>
        </w:rPr>
      </w:pPr>
      <w:r>
        <w:rPr>
          <w:rFonts w:hint="eastAsia" w:ascii="仿宋_GB2312" w:eastAsia="仿宋_GB2312"/>
          <w:kern w:val="0"/>
          <w:sz w:val="32"/>
          <w:szCs w:val="32"/>
        </w:rPr>
        <w:t>《中华人民共和国刑法修正案》（九）第二百八十四条之一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widowControl/>
        <w:overflowPunct w:val="0"/>
        <w:adjustRightInd w:val="0"/>
        <w:spacing w:line="560" w:lineRule="exact"/>
        <w:ind w:firstLine="640"/>
        <w:rPr>
          <w:rFonts w:ascii="楷体_GB2312" w:hAnsi="楷体_GB2312" w:eastAsia="楷体_GB2312" w:cs="楷体_GB2312"/>
          <w:b/>
          <w:kern w:val="0"/>
          <w:sz w:val="32"/>
          <w:szCs w:val="32"/>
        </w:rPr>
      </w:pPr>
      <w:r>
        <w:rPr>
          <w:rFonts w:hint="eastAsia" w:ascii="仿宋_GB2312" w:eastAsia="仿宋_GB2312"/>
          <w:kern w:val="0"/>
          <w:sz w:val="32"/>
          <w:szCs w:val="32"/>
        </w:rPr>
        <w:t>报考人员和其他人员违反《刑法》构成犯罪的，将依法追究刑事责任。</w:t>
      </w:r>
    </w:p>
    <w:p>
      <w:pPr>
        <w:widowControl/>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21.报名政策咨询电话和时间是什么？</w:t>
      </w:r>
    </w:p>
    <w:p>
      <w:pPr>
        <w:overflowPunct w:val="0"/>
        <w:spacing w:line="560" w:lineRule="exact"/>
        <w:ind w:firstLine="640"/>
        <w:rPr>
          <w:rFonts w:ascii="仿宋_GB2312" w:eastAsia="仿宋_GB2312"/>
          <w:sz w:val="32"/>
          <w:szCs w:val="32"/>
        </w:rPr>
      </w:pPr>
      <w:r>
        <w:rPr>
          <w:rFonts w:hint="eastAsia" w:ascii="仿宋_GB2312" w:eastAsia="仿宋_GB2312"/>
          <w:sz w:val="32"/>
          <w:szCs w:val="32"/>
        </w:rPr>
        <w:t>咨询电</w:t>
      </w:r>
      <w:r>
        <w:rPr>
          <w:rFonts w:hint="eastAsia" w:ascii="仿宋_GB2312" w:hAnsi="仿宋" w:eastAsia="仿宋_GB2312" w:cs="宋体"/>
          <w:kern w:val="0"/>
          <w:sz w:val="32"/>
          <w:szCs w:val="32"/>
        </w:rPr>
        <w:t>话：5562722（区教育文化卫生健康局组织人事组）。咨询时间：工作日上午8</w:t>
      </w:r>
      <w:r>
        <w:rPr>
          <w:rFonts w:hint="eastAsia" w:ascii="仿宋_GB2312" w:hAnsi="仿宋" w:eastAsia="仿宋" w:cs="宋体"/>
          <w:kern w:val="0"/>
          <w:sz w:val="32"/>
          <w:szCs w:val="32"/>
        </w:rPr>
        <w:t>︰</w:t>
      </w:r>
      <w:r>
        <w:rPr>
          <w:rFonts w:hint="eastAsia" w:ascii="仿宋_GB2312" w:hAnsi="仿宋" w:eastAsia="仿宋_GB2312" w:cs="宋体"/>
          <w:kern w:val="0"/>
          <w:sz w:val="32"/>
          <w:szCs w:val="32"/>
        </w:rPr>
        <w:t>30－12</w:t>
      </w:r>
      <w:r>
        <w:rPr>
          <w:rFonts w:hint="eastAsia" w:ascii="仿宋_GB2312" w:hAnsi="仿宋" w:eastAsia="仿宋" w:cs="宋体"/>
          <w:kern w:val="0"/>
          <w:sz w:val="32"/>
          <w:szCs w:val="32"/>
        </w:rPr>
        <w:t>︰</w:t>
      </w:r>
      <w:r>
        <w:rPr>
          <w:rFonts w:hint="eastAsia" w:ascii="仿宋_GB2312" w:hAnsi="仿宋" w:eastAsia="仿宋_GB2312" w:cs="宋体"/>
          <w:kern w:val="0"/>
          <w:sz w:val="32"/>
          <w:szCs w:val="32"/>
        </w:rPr>
        <w:t>00，下午14</w:t>
      </w:r>
      <w:r>
        <w:rPr>
          <w:rFonts w:hint="eastAsia" w:ascii="仿宋_GB2312" w:hAnsi="仿宋" w:eastAsia="仿宋" w:cs="宋体"/>
          <w:kern w:val="0"/>
          <w:sz w:val="32"/>
          <w:szCs w:val="32"/>
        </w:rPr>
        <w:t>︰</w:t>
      </w:r>
      <w:r>
        <w:rPr>
          <w:rFonts w:hint="eastAsia" w:ascii="仿宋_GB2312" w:hAnsi="仿宋" w:eastAsia="仿宋_GB2312" w:cs="宋体"/>
          <w:kern w:val="0"/>
          <w:sz w:val="32"/>
          <w:szCs w:val="32"/>
        </w:rPr>
        <w:t>00－17</w:t>
      </w:r>
      <w:r>
        <w:rPr>
          <w:rFonts w:hint="eastAsia" w:ascii="仿宋_GB2312" w:hAnsi="仿宋" w:eastAsia="仿宋" w:cs="宋体"/>
          <w:kern w:val="0"/>
          <w:sz w:val="32"/>
          <w:szCs w:val="32"/>
        </w:rPr>
        <w:t>︰</w:t>
      </w:r>
      <w:r>
        <w:rPr>
          <w:rFonts w:hint="eastAsia" w:ascii="仿宋_GB2312" w:hAnsi="仿宋" w:eastAsia="仿宋_GB2312" w:cs="宋体"/>
          <w:kern w:val="0"/>
          <w:sz w:val="32"/>
          <w:szCs w:val="32"/>
        </w:rPr>
        <w:t>30。</w:t>
      </w:r>
    </w:p>
    <w:p>
      <w:pPr>
        <w:overflowPunct w:val="0"/>
        <w:adjustRightInd w:val="0"/>
        <w:spacing w:line="560" w:lineRule="exact"/>
        <w:ind w:firstLine="640"/>
        <w:rPr>
          <w:rFonts w:ascii="仿宋_GB2312" w:hAnsi="仿宋" w:eastAsia="仿宋_GB2312" w:cs="宋体"/>
          <w:kern w:val="0"/>
          <w:sz w:val="32"/>
          <w:szCs w:val="32"/>
        </w:rPr>
      </w:pPr>
      <w:r>
        <w:rPr>
          <w:rFonts w:hint="eastAsia" w:ascii="仿宋_GB2312" w:hAnsi="仿宋" w:eastAsia="仿宋_GB2312" w:cs="宋体"/>
          <w:kern w:val="0"/>
          <w:sz w:val="32"/>
          <w:szCs w:val="32"/>
        </w:rPr>
        <w:t>为避免因咨询电话拥挤而影响报名，考生如有疑问，应先详细阅读公告、附件；如仍有疑问，再电话咨询。工作人员仅对公告内容及政策给予解释，不对报考人员是否符合招聘岗位条件进行确认。</w:t>
      </w:r>
    </w:p>
    <w:p>
      <w:pPr>
        <w:widowControl/>
        <w:overflowPunct w:val="0"/>
        <w:adjustRightInd w:val="0"/>
        <w:spacing w:line="560" w:lineRule="exact"/>
        <w:ind w:firstLine="643"/>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22.本报考指南适用范围如何？</w:t>
      </w:r>
    </w:p>
    <w:p>
      <w:pPr>
        <w:overflowPunct w:val="0"/>
        <w:spacing w:line="560" w:lineRule="exact"/>
        <w:ind w:firstLine="640"/>
        <w:rPr>
          <w:rFonts w:ascii="仿宋_GB2312" w:eastAsia="仿宋_GB2312"/>
          <w:sz w:val="32"/>
          <w:szCs w:val="32"/>
        </w:rPr>
      </w:pPr>
      <w:r>
        <w:rPr>
          <w:rFonts w:hint="eastAsia" w:ascii="仿宋_GB2312" w:hAnsi="仿宋" w:eastAsia="仿宋_GB2312" w:cs="宋体"/>
          <w:w w:val="96"/>
          <w:kern w:val="0"/>
          <w:sz w:val="32"/>
          <w:szCs w:val="32"/>
        </w:rPr>
        <w:t>仅适用于本次大亚湾开发区2024年公开招聘公办中小学教师工作。</w:t>
      </w:r>
    </w:p>
    <w:p>
      <w:pPr>
        <w:spacing w:line="540" w:lineRule="exact"/>
        <w:ind w:firstLine="640" w:firstLineChars="200"/>
        <w:rPr>
          <w:rFonts w:ascii="楷体" w:hAnsi="楷体" w:eastAsia="楷体"/>
          <w:sz w:val="32"/>
          <w:szCs w:val="32"/>
        </w:rPr>
      </w:pPr>
    </w:p>
    <w:p>
      <w:pPr>
        <w:spacing w:line="540" w:lineRule="exact"/>
        <w:ind w:firstLine="640" w:firstLineChars="200"/>
        <w:rPr>
          <w:rFonts w:ascii="楷体" w:hAnsi="楷体" w:eastAsia="楷体"/>
          <w:sz w:val="32"/>
          <w:szCs w:val="32"/>
        </w:rPr>
      </w:pPr>
    </w:p>
    <w:p>
      <w:pPr>
        <w:spacing w:line="540" w:lineRule="exact"/>
        <w:ind w:firstLine="640" w:firstLineChars="200"/>
        <w:rPr>
          <w:sz w:val="32"/>
          <w:szCs w:val="32"/>
        </w:rPr>
      </w:pPr>
    </w:p>
    <w:sectPr>
      <w:footerReference r:id="rId3" w:type="default"/>
      <w:footerReference r:id="rId4" w:type="even"/>
      <w:pgSz w:w="11906" w:h="16838"/>
      <w:pgMar w:top="1843" w:right="1474" w:bottom="204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7536170"/>
    </w:sdtPr>
    <w:sdtEndPr>
      <w:rPr>
        <w:rFonts w:asciiTheme="minorEastAsia" w:hAnsiTheme="minorEastAsia"/>
        <w:sz w:val="28"/>
        <w:szCs w:val="28"/>
      </w:rPr>
    </w:sdtEndPr>
    <w:sdtContent>
      <w:p>
        <w:pPr>
          <w:pStyle w:val="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7 -</w:t>
        </w:r>
        <w:r>
          <w:rPr>
            <w:rFonts w:asciiTheme="minorEastAsia" w:hAnsiTheme="min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733014"/>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6 -</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881"/>
    <w:rsid w:val="000017F0"/>
    <w:rsid w:val="0001593B"/>
    <w:rsid w:val="000160D7"/>
    <w:rsid w:val="00020628"/>
    <w:rsid w:val="000278CF"/>
    <w:rsid w:val="000336AF"/>
    <w:rsid w:val="00041F17"/>
    <w:rsid w:val="00063875"/>
    <w:rsid w:val="00082DDA"/>
    <w:rsid w:val="000912FC"/>
    <w:rsid w:val="0009618D"/>
    <w:rsid w:val="0009649F"/>
    <w:rsid w:val="000A24FB"/>
    <w:rsid w:val="000A4E7D"/>
    <w:rsid w:val="000C1BF2"/>
    <w:rsid w:val="000D5BEF"/>
    <w:rsid w:val="001024B0"/>
    <w:rsid w:val="00103C58"/>
    <w:rsid w:val="00106D9E"/>
    <w:rsid w:val="00131BDB"/>
    <w:rsid w:val="001328E9"/>
    <w:rsid w:val="0014212A"/>
    <w:rsid w:val="00142AF5"/>
    <w:rsid w:val="00145348"/>
    <w:rsid w:val="00151E0C"/>
    <w:rsid w:val="00155D03"/>
    <w:rsid w:val="00162423"/>
    <w:rsid w:val="00162EA3"/>
    <w:rsid w:val="00164F7F"/>
    <w:rsid w:val="0017275B"/>
    <w:rsid w:val="0017360A"/>
    <w:rsid w:val="001769F2"/>
    <w:rsid w:val="00182EF0"/>
    <w:rsid w:val="00190FB6"/>
    <w:rsid w:val="001A1D88"/>
    <w:rsid w:val="001A29BA"/>
    <w:rsid w:val="001B206A"/>
    <w:rsid w:val="001B4189"/>
    <w:rsid w:val="001B6122"/>
    <w:rsid w:val="001C6DBF"/>
    <w:rsid w:val="001D178C"/>
    <w:rsid w:val="001D5305"/>
    <w:rsid w:val="001D64B5"/>
    <w:rsid w:val="001E27DE"/>
    <w:rsid w:val="001F2E8F"/>
    <w:rsid w:val="002027A5"/>
    <w:rsid w:val="00212481"/>
    <w:rsid w:val="00216860"/>
    <w:rsid w:val="00277223"/>
    <w:rsid w:val="00283042"/>
    <w:rsid w:val="002866A7"/>
    <w:rsid w:val="002872DB"/>
    <w:rsid w:val="002A31A5"/>
    <w:rsid w:val="002A5D6E"/>
    <w:rsid w:val="002B0AEC"/>
    <w:rsid w:val="002B3D4E"/>
    <w:rsid w:val="002D01B6"/>
    <w:rsid w:val="002E7367"/>
    <w:rsid w:val="002F3014"/>
    <w:rsid w:val="002F619A"/>
    <w:rsid w:val="00303212"/>
    <w:rsid w:val="00303C89"/>
    <w:rsid w:val="00322EE6"/>
    <w:rsid w:val="003259C4"/>
    <w:rsid w:val="00335F7D"/>
    <w:rsid w:val="003370CC"/>
    <w:rsid w:val="00343E01"/>
    <w:rsid w:val="003558AE"/>
    <w:rsid w:val="00376B40"/>
    <w:rsid w:val="00381F60"/>
    <w:rsid w:val="00384A04"/>
    <w:rsid w:val="00396FB7"/>
    <w:rsid w:val="003A03B1"/>
    <w:rsid w:val="003A6B2C"/>
    <w:rsid w:val="003B4393"/>
    <w:rsid w:val="003B57AB"/>
    <w:rsid w:val="003C2EA8"/>
    <w:rsid w:val="003D2F3B"/>
    <w:rsid w:val="003F3008"/>
    <w:rsid w:val="003F3AED"/>
    <w:rsid w:val="003F52DF"/>
    <w:rsid w:val="0040280E"/>
    <w:rsid w:val="00404545"/>
    <w:rsid w:val="0042022C"/>
    <w:rsid w:val="004312F9"/>
    <w:rsid w:val="00432795"/>
    <w:rsid w:val="00437D23"/>
    <w:rsid w:val="00440011"/>
    <w:rsid w:val="00443E70"/>
    <w:rsid w:val="00445944"/>
    <w:rsid w:val="00460623"/>
    <w:rsid w:val="004675BA"/>
    <w:rsid w:val="00470045"/>
    <w:rsid w:val="00475D9F"/>
    <w:rsid w:val="00481BCD"/>
    <w:rsid w:val="00493432"/>
    <w:rsid w:val="004B251A"/>
    <w:rsid w:val="004D043A"/>
    <w:rsid w:val="004D2642"/>
    <w:rsid w:val="004E2121"/>
    <w:rsid w:val="00504520"/>
    <w:rsid w:val="00507D52"/>
    <w:rsid w:val="005136DF"/>
    <w:rsid w:val="0054253B"/>
    <w:rsid w:val="0054314F"/>
    <w:rsid w:val="005431CD"/>
    <w:rsid w:val="00543242"/>
    <w:rsid w:val="00550B0B"/>
    <w:rsid w:val="005563CA"/>
    <w:rsid w:val="0055678E"/>
    <w:rsid w:val="00566A87"/>
    <w:rsid w:val="00572320"/>
    <w:rsid w:val="00573E20"/>
    <w:rsid w:val="00577A2A"/>
    <w:rsid w:val="00577D10"/>
    <w:rsid w:val="005A09DB"/>
    <w:rsid w:val="005A17D9"/>
    <w:rsid w:val="005A294F"/>
    <w:rsid w:val="005A730B"/>
    <w:rsid w:val="005B3B1E"/>
    <w:rsid w:val="005B7A91"/>
    <w:rsid w:val="005C1B3D"/>
    <w:rsid w:val="005D249A"/>
    <w:rsid w:val="005E0F07"/>
    <w:rsid w:val="005E0F8C"/>
    <w:rsid w:val="00603748"/>
    <w:rsid w:val="00603C52"/>
    <w:rsid w:val="00606F01"/>
    <w:rsid w:val="00610EA1"/>
    <w:rsid w:val="006127D4"/>
    <w:rsid w:val="006341D0"/>
    <w:rsid w:val="006377EE"/>
    <w:rsid w:val="00643510"/>
    <w:rsid w:val="00650798"/>
    <w:rsid w:val="0065163C"/>
    <w:rsid w:val="00655C50"/>
    <w:rsid w:val="00660342"/>
    <w:rsid w:val="0067122E"/>
    <w:rsid w:val="00676556"/>
    <w:rsid w:val="006839E5"/>
    <w:rsid w:val="00684538"/>
    <w:rsid w:val="006855BD"/>
    <w:rsid w:val="006859DA"/>
    <w:rsid w:val="006A7C69"/>
    <w:rsid w:val="006E4EC0"/>
    <w:rsid w:val="006E5673"/>
    <w:rsid w:val="00710110"/>
    <w:rsid w:val="007120A7"/>
    <w:rsid w:val="00725D54"/>
    <w:rsid w:val="0072660B"/>
    <w:rsid w:val="00731A62"/>
    <w:rsid w:val="0074098F"/>
    <w:rsid w:val="00746E89"/>
    <w:rsid w:val="007515DD"/>
    <w:rsid w:val="007611A6"/>
    <w:rsid w:val="00765A06"/>
    <w:rsid w:val="00767F8B"/>
    <w:rsid w:val="00772175"/>
    <w:rsid w:val="007905A3"/>
    <w:rsid w:val="0079347B"/>
    <w:rsid w:val="007B29AD"/>
    <w:rsid w:val="007B303A"/>
    <w:rsid w:val="007B5D43"/>
    <w:rsid w:val="007C1CAE"/>
    <w:rsid w:val="007C57AC"/>
    <w:rsid w:val="007D5177"/>
    <w:rsid w:val="007D7EB9"/>
    <w:rsid w:val="007E65EF"/>
    <w:rsid w:val="007F03D0"/>
    <w:rsid w:val="008050AD"/>
    <w:rsid w:val="00816094"/>
    <w:rsid w:val="00817040"/>
    <w:rsid w:val="00825224"/>
    <w:rsid w:val="00825AD3"/>
    <w:rsid w:val="00825B25"/>
    <w:rsid w:val="00832DB2"/>
    <w:rsid w:val="00835F32"/>
    <w:rsid w:val="008411F1"/>
    <w:rsid w:val="00841ADD"/>
    <w:rsid w:val="0084598A"/>
    <w:rsid w:val="008762B1"/>
    <w:rsid w:val="00891566"/>
    <w:rsid w:val="00895FF8"/>
    <w:rsid w:val="008A3E1D"/>
    <w:rsid w:val="008A459C"/>
    <w:rsid w:val="008A49FE"/>
    <w:rsid w:val="008B6AB6"/>
    <w:rsid w:val="008C3903"/>
    <w:rsid w:val="008D1950"/>
    <w:rsid w:val="008D1D66"/>
    <w:rsid w:val="008D79FC"/>
    <w:rsid w:val="008F3B16"/>
    <w:rsid w:val="00900EA3"/>
    <w:rsid w:val="009013D8"/>
    <w:rsid w:val="00911A22"/>
    <w:rsid w:val="00922306"/>
    <w:rsid w:val="0092367E"/>
    <w:rsid w:val="00927C12"/>
    <w:rsid w:val="0093042A"/>
    <w:rsid w:val="00942EB4"/>
    <w:rsid w:val="0094375A"/>
    <w:rsid w:val="009464C8"/>
    <w:rsid w:val="00946B81"/>
    <w:rsid w:val="00950C08"/>
    <w:rsid w:val="00954180"/>
    <w:rsid w:val="00957006"/>
    <w:rsid w:val="00961F78"/>
    <w:rsid w:val="009662D2"/>
    <w:rsid w:val="00971FCC"/>
    <w:rsid w:val="0097340F"/>
    <w:rsid w:val="00975C2F"/>
    <w:rsid w:val="00977491"/>
    <w:rsid w:val="00980D13"/>
    <w:rsid w:val="009826CC"/>
    <w:rsid w:val="0099073B"/>
    <w:rsid w:val="0099694B"/>
    <w:rsid w:val="009A4D1C"/>
    <w:rsid w:val="009B10F7"/>
    <w:rsid w:val="009B48BC"/>
    <w:rsid w:val="009B5EA5"/>
    <w:rsid w:val="009C563E"/>
    <w:rsid w:val="009C5E08"/>
    <w:rsid w:val="009E1F18"/>
    <w:rsid w:val="009E58AA"/>
    <w:rsid w:val="009F09CC"/>
    <w:rsid w:val="009F7087"/>
    <w:rsid w:val="00A02D9E"/>
    <w:rsid w:val="00A0398F"/>
    <w:rsid w:val="00A10E15"/>
    <w:rsid w:val="00A22B0B"/>
    <w:rsid w:val="00A331D8"/>
    <w:rsid w:val="00A35774"/>
    <w:rsid w:val="00A50534"/>
    <w:rsid w:val="00A63FAD"/>
    <w:rsid w:val="00A651A4"/>
    <w:rsid w:val="00A66A48"/>
    <w:rsid w:val="00A718CD"/>
    <w:rsid w:val="00A80762"/>
    <w:rsid w:val="00A85933"/>
    <w:rsid w:val="00A952C2"/>
    <w:rsid w:val="00A95C0A"/>
    <w:rsid w:val="00AB7691"/>
    <w:rsid w:val="00AD38B7"/>
    <w:rsid w:val="00AD6C98"/>
    <w:rsid w:val="00AE10F4"/>
    <w:rsid w:val="00AE4C0D"/>
    <w:rsid w:val="00AE5C83"/>
    <w:rsid w:val="00AF2EE1"/>
    <w:rsid w:val="00AF4C15"/>
    <w:rsid w:val="00B0040F"/>
    <w:rsid w:val="00B22818"/>
    <w:rsid w:val="00B243F6"/>
    <w:rsid w:val="00B31244"/>
    <w:rsid w:val="00B31D2B"/>
    <w:rsid w:val="00B507DF"/>
    <w:rsid w:val="00B63C0B"/>
    <w:rsid w:val="00B774E9"/>
    <w:rsid w:val="00B810E8"/>
    <w:rsid w:val="00B8238C"/>
    <w:rsid w:val="00B90C54"/>
    <w:rsid w:val="00B934DB"/>
    <w:rsid w:val="00BA0E84"/>
    <w:rsid w:val="00BA2F02"/>
    <w:rsid w:val="00BA6F59"/>
    <w:rsid w:val="00BB030A"/>
    <w:rsid w:val="00BB63D3"/>
    <w:rsid w:val="00BB67C0"/>
    <w:rsid w:val="00BB6907"/>
    <w:rsid w:val="00BC018B"/>
    <w:rsid w:val="00BC0927"/>
    <w:rsid w:val="00BC1223"/>
    <w:rsid w:val="00BD258E"/>
    <w:rsid w:val="00BD456A"/>
    <w:rsid w:val="00BE0C95"/>
    <w:rsid w:val="00BE5B59"/>
    <w:rsid w:val="00BF073C"/>
    <w:rsid w:val="00BF52AF"/>
    <w:rsid w:val="00C1512E"/>
    <w:rsid w:val="00C153D7"/>
    <w:rsid w:val="00C16C13"/>
    <w:rsid w:val="00C205BD"/>
    <w:rsid w:val="00C26EAD"/>
    <w:rsid w:val="00C41CCD"/>
    <w:rsid w:val="00C45793"/>
    <w:rsid w:val="00C4582A"/>
    <w:rsid w:val="00C47BCD"/>
    <w:rsid w:val="00C61A99"/>
    <w:rsid w:val="00C73B1B"/>
    <w:rsid w:val="00C77F4B"/>
    <w:rsid w:val="00C917A8"/>
    <w:rsid w:val="00C92C09"/>
    <w:rsid w:val="00C92C5A"/>
    <w:rsid w:val="00C93FAB"/>
    <w:rsid w:val="00C95133"/>
    <w:rsid w:val="00CA007A"/>
    <w:rsid w:val="00CA1025"/>
    <w:rsid w:val="00CA2623"/>
    <w:rsid w:val="00CB02B4"/>
    <w:rsid w:val="00CB0404"/>
    <w:rsid w:val="00CB1D02"/>
    <w:rsid w:val="00CB54B8"/>
    <w:rsid w:val="00CC291F"/>
    <w:rsid w:val="00CC69BA"/>
    <w:rsid w:val="00CD015F"/>
    <w:rsid w:val="00CD55DC"/>
    <w:rsid w:val="00CE0F13"/>
    <w:rsid w:val="00CE29D1"/>
    <w:rsid w:val="00CE56E4"/>
    <w:rsid w:val="00CF03DE"/>
    <w:rsid w:val="00CF272A"/>
    <w:rsid w:val="00D002D6"/>
    <w:rsid w:val="00D0352C"/>
    <w:rsid w:val="00D13DC0"/>
    <w:rsid w:val="00D21602"/>
    <w:rsid w:val="00D21F11"/>
    <w:rsid w:val="00D5277B"/>
    <w:rsid w:val="00D570FC"/>
    <w:rsid w:val="00D614AA"/>
    <w:rsid w:val="00D65D2B"/>
    <w:rsid w:val="00D71D65"/>
    <w:rsid w:val="00D819D0"/>
    <w:rsid w:val="00D838E9"/>
    <w:rsid w:val="00D87695"/>
    <w:rsid w:val="00D95A3C"/>
    <w:rsid w:val="00D96755"/>
    <w:rsid w:val="00DA57DD"/>
    <w:rsid w:val="00DB0050"/>
    <w:rsid w:val="00DC7D40"/>
    <w:rsid w:val="00DE04AA"/>
    <w:rsid w:val="00DF6BEB"/>
    <w:rsid w:val="00E17ACF"/>
    <w:rsid w:val="00E230B7"/>
    <w:rsid w:val="00E329A7"/>
    <w:rsid w:val="00E40D03"/>
    <w:rsid w:val="00E47AC4"/>
    <w:rsid w:val="00E54753"/>
    <w:rsid w:val="00E63624"/>
    <w:rsid w:val="00E7734D"/>
    <w:rsid w:val="00E83A97"/>
    <w:rsid w:val="00E844DA"/>
    <w:rsid w:val="00E85443"/>
    <w:rsid w:val="00E860AF"/>
    <w:rsid w:val="00E92443"/>
    <w:rsid w:val="00E9507B"/>
    <w:rsid w:val="00E96A8C"/>
    <w:rsid w:val="00EB0A3C"/>
    <w:rsid w:val="00EC101B"/>
    <w:rsid w:val="00EC67FA"/>
    <w:rsid w:val="00ED221C"/>
    <w:rsid w:val="00ED4D8D"/>
    <w:rsid w:val="00ED5C8D"/>
    <w:rsid w:val="00EF0E42"/>
    <w:rsid w:val="00EF458C"/>
    <w:rsid w:val="00F02CEE"/>
    <w:rsid w:val="00F209FD"/>
    <w:rsid w:val="00F245D0"/>
    <w:rsid w:val="00F37239"/>
    <w:rsid w:val="00F442D4"/>
    <w:rsid w:val="00F44C24"/>
    <w:rsid w:val="00F516EA"/>
    <w:rsid w:val="00F61294"/>
    <w:rsid w:val="00F66F13"/>
    <w:rsid w:val="00F67AF3"/>
    <w:rsid w:val="00F716DD"/>
    <w:rsid w:val="00F73D9C"/>
    <w:rsid w:val="00F77C3F"/>
    <w:rsid w:val="00F822C5"/>
    <w:rsid w:val="00F85F89"/>
    <w:rsid w:val="00F87881"/>
    <w:rsid w:val="00F94079"/>
    <w:rsid w:val="00FA2D56"/>
    <w:rsid w:val="00FA3EE8"/>
    <w:rsid w:val="00FA7E42"/>
    <w:rsid w:val="00FB052E"/>
    <w:rsid w:val="00FB6037"/>
    <w:rsid w:val="00FB6BCB"/>
    <w:rsid w:val="00FC733C"/>
    <w:rsid w:val="00FD13EE"/>
    <w:rsid w:val="00FD348E"/>
    <w:rsid w:val="00FD4274"/>
    <w:rsid w:val="00FD63B6"/>
    <w:rsid w:val="00FE5611"/>
    <w:rsid w:val="00FF0A11"/>
    <w:rsid w:val="00FF1C87"/>
    <w:rsid w:val="00FF42AF"/>
    <w:rsid w:val="00FF7CA5"/>
    <w:rsid w:val="03CC184D"/>
    <w:rsid w:val="0ECD2925"/>
    <w:rsid w:val="13630DA6"/>
    <w:rsid w:val="17943D5B"/>
    <w:rsid w:val="18610694"/>
    <w:rsid w:val="1ED24902"/>
    <w:rsid w:val="21E312B3"/>
    <w:rsid w:val="28BD0652"/>
    <w:rsid w:val="30CC6607"/>
    <w:rsid w:val="3B4D496E"/>
    <w:rsid w:val="4C7B5F53"/>
    <w:rsid w:val="566C526F"/>
    <w:rsid w:val="57423331"/>
    <w:rsid w:val="5BD862EF"/>
    <w:rsid w:val="65CC3111"/>
    <w:rsid w:val="66137F6F"/>
    <w:rsid w:val="6BE14A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unhideWhenUsed/>
    <w:qFormat/>
    <w:uiPriority w:val="99"/>
    <w:rPr>
      <w:rFonts w:ascii="宋体" w:hAnsi="Courier New" w:eastAsia="宋体" w:cs="Courier New"/>
      <w:szCs w:val="21"/>
    </w:rPr>
  </w:style>
  <w:style w:type="paragraph" w:styleId="3">
    <w:name w:val="Body Text Indent"/>
    <w:basedOn w:val="1"/>
    <w:unhideWhenUsed/>
    <w:qFormat/>
    <w:uiPriority w:val="99"/>
    <w:pPr>
      <w:ind w:firstLine="627"/>
    </w:pPr>
    <w:rPr>
      <w:szCs w:val="20"/>
    </w:rPr>
  </w:style>
  <w:style w:type="paragraph" w:styleId="4">
    <w:name w:val="Balloon Text"/>
    <w:basedOn w:val="1"/>
    <w:link w:val="12"/>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Times New Roman" w:hAnsi="Times New Roman" w:eastAsia="宋体" w:cs="Times New Roman"/>
      <w:szCs w:val="24"/>
    </w:rPr>
  </w:style>
  <w:style w:type="character" w:customStyle="1" w:styleId="12">
    <w:name w:val="批注框文本 Char"/>
    <w:basedOn w:val="8"/>
    <w:link w:val="4"/>
    <w:semiHidden/>
    <w:qFormat/>
    <w:uiPriority w:val="99"/>
    <w:rPr>
      <w:sz w:val="18"/>
      <w:szCs w:val="18"/>
    </w:rPr>
  </w:style>
  <w:style w:type="character" w:customStyle="1" w:styleId="13">
    <w:name w:val="纯文本 Char"/>
    <w:basedOn w:val="8"/>
    <w:link w:val="2"/>
    <w:qFormat/>
    <w:uiPriority w:val="99"/>
    <w:rPr>
      <w:rFonts w:ascii="宋体" w:hAnsi="Courier New" w:eastAsia="宋体" w:cs="Courier New"/>
      <w:kern w:val="2"/>
      <w:sz w:val="21"/>
      <w:szCs w:val="21"/>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7</Pages>
  <Words>523</Words>
  <Characters>2983</Characters>
  <Lines>24</Lines>
  <Paragraphs>6</Paragraphs>
  <TotalTime>191</TotalTime>
  <ScaleCrop>false</ScaleCrop>
  <LinksUpToDate>false</LinksUpToDate>
  <CharactersWithSpaces>3500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2024-03-04T06:48:00Z</dcterms:created>
  <dc:creator>池锐波</dc:creator>
  <cp:lastModifiedBy>系统管理员</cp:lastModifiedBy>
  <cp:lastPrinted>2022-05-16T02:26:00Z</cp:lastPrinted>
  <dcterms:modified xsi:type="dcterms:W3CDTF">2024-04-02T02:16:09Z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44762DC7EA144ADAAEF137EA851D6A90</vt:lpwstr>
  </property>
</Properties>
</file>