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8" w:beforeAutospacing="0" w:after="362" w:afterAutospacing="0" w:line="22" w:lineRule="atLeast"/>
        <w:ind w:left="0" w:right="0"/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盐山县第八中学高中教师招聘公告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一、学校介绍：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盐山县第八中学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由民营企业家投资创办的一所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高起点、高标准、高品质的全日制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寄宿制高级中学。学校位于美丽的渤海之滨，沧州市盐山县城的核心城区，这里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东临渤海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北倚京津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南接山东，是“两省”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（河北省、山东省）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“三市”（沧州市、德州市、滨州市）的中心，素有“冀鲁枢纽”“京津门户”之称。盐山县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国务院批准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“环渤海经济开放县”，距天津120公里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北京220公里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济南160公里，距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"https://baike.sogou.com/lemma/ShowInnerLink.htm?lemmaId=442084&amp;ss_c=ssc.citiao.link" \t "https://baike.sogou.com/_blank" </w:instrTex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黄骅港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50公里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"https://baike.sogou.com/lemma/ShowInnerLink.htm?lemmaId=74463&amp;ss_c=ssc.citiao.link" \t "https://baike.sogou.com/_blank" </w:instrTex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天津港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110公里，半小时可以出海，1小时可以登机。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环境优美，交通便利，气候宜人。总投资逾五亿元，占地面积206亩，建筑面积138955.48平方米，教学楼、综合行政楼、实验楼、学术报告厅、学生宿舍楼、教师公寓楼、餐饮中心、室内体育场馆、室外标准化体育场等应有尽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，教学和生活设施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实现了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现代化、智能化、标准化。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实施“专家引领、名师执教”发展战略，由特级教师领衔，省、市级教学骨干和学科带头人作为教学一线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坚力量，组建一支有教育情怀、理念先进、业务精湛、充满活力的教师队伍。学校秉持“知行至善，为学生终身发展赋能”的办学理念，践行“让教育幸福，让人生卓越，让生命美好”的办学使命，致力打造一所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盐山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品牌、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沧州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一流、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河北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知名”的特色品牌学校，培养有家国情怀、国际视野、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品学兼优、德才兼备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的现代公民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二、2024年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高中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教师18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人、数学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教师18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语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教师18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物理教师10人、化学教师10人、生物教师10人、政治教师10人、历史教师10人、地理教师10人。有的岗位可能于2024年春节后就要上岗。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招聘岗位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地域和户籍不限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遵守宪法和法律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具有良好的品行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和敬业精神，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具有岗位所需要的专业和技能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起点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身体健康，能够胜任应聘岗位工作。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高中各学科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1、全日制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，有相应的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教师资格证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普通话二级甲等以上。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三年以上高端民办学校或地市级以上重点公办学校教学经验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者优先录用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曾担任过班主任、备课组长、教研组长或年级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组长者优先录用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“双一流”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211”“985”高校优秀毕业生优先录用。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59" w:leftChars="266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.特殊人才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特别优秀者不受以上条件所限。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、薪酬福利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1、普通高中教师13---17万；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2、三年以上高中教龄的应届毕业生满工作量不低于10万；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3、学校免费提供教师宿舍，教工食堂就餐，每月发放300元就餐补贴。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4、本校教师子女可免除学费入读本校。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5、按照国家规定为教师交纳五险一金。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按当地教育主管部门规定参加教师职称评定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五、河北省盐山县第八中学具体地址：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河北省沧州市盐山县文化新城泰安路北、西城大街西，旭阳路南、玉城大街东。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七、到岗时间：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根据岗位工作需要在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年后到岗数人，其他合格人员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2024年8月份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到岗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、报名时间、方式及相关事项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1、报名时间：即日起开始报名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报名方式：符合条件的报名人员认真填写《盐山县第八中学公开招聘高中教师报名资格审查表》（样表见附件），并将个人身份证、毕业证书、教育部学历证书电子注册备案表拍照打包发邮箱：ysxdbzx2021@163.com。拍照必须清晰端正。邮件名称格式统一为：应聘岗位+姓名+联系方式。有学位证书、相应学科的教师资格证书、普通话水平测试等级证书、获奖证书的，一并拍照发送，作为同等资格下的优先录用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3、面试安排：根据材料审查结果，电话通知面试时间。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附件：盐山县第八中学公开招聘高中教师报名资格审查表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盐山县第八中学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80" w:firstLineChars="21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二〇二四年一月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00" w:firstLineChars="50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4156"/>
        </w:tabs>
        <w:jc w:val="center"/>
        <w:rPr>
          <w:rFonts w:hint="eastAsia" w:ascii="新宋体" w:hAnsi="新宋体" w:eastAsia="新宋体"/>
          <w:b/>
          <w:kern w:val="0"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  <w:lang w:eastAsia="zh-CN"/>
        </w:rPr>
        <w:t>盐山县第八中学</w:t>
      </w:r>
      <w:r>
        <w:rPr>
          <w:rFonts w:hint="eastAsia" w:ascii="新宋体" w:hAnsi="新宋体" w:eastAsia="新宋体"/>
          <w:b/>
          <w:sz w:val="36"/>
          <w:szCs w:val="36"/>
        </w:rPr>
        <w:t>公开招聘高中</w:t>
      </w:r>
      <w:r>
        <w:rPr>
          <w:rFonts w:hint="eastAsia" w:ascii="新宋体" w:hAnsi="新宋体" w:eastAsia="新宋体"/>
          <w:b/>
          <w:kern w:val="0"/>
          <w:sz w:val="36"/>
          <w:szCs w:val="36"/>
        </w:rPr>
        <w:t>教师</w:t>
      </w:r>
    </w:p>
    <w:p>
      <w:pPr>
        <w:tabs>
          <w:tab w:val="center" w:pos="4156"/>
        </w:tabs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报名资格审查表</w:t>
      </w:r>
    </w:p>
    <w:p>
      <w:pPr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应聘学科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填表日期： 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日</w:t>
      </w:r>
    </w:p>
    <w:tbl>
      <w:tblPr>
        <w:tblStyle w:val="8"/>
        <w:tblW w:w="49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304"/>
        <w:gridCol w:w="1410"/>
        <w:gridCol w:w="530"/>
        <w:gridCol w:w="1485"/>
        <w:gridCol w:w="277"/>
        <w:gridCol w:w="3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36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近期免冠电子照片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粘贴处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6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36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8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6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1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8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1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现居住地</w:t>
            </w:r>
          </w:p>
        </w:tc>
        <w:tc>
          <w:tcPr>
            <w:tcW w:w="218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及毕业时间</w:t>
            </w:r>
          </w:p>
        </w:tc>
        <w:tc>
          <w:tcPr>
            <w:tcW w:w="193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29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学位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所获主要荣誉</w:t>
            </w:r>
          </w:p>
        </w:tc>
        <w:tc>
          <w:tcPr>
            <w:tcW w:w="218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普通话水平测试等级</w:t>
            </w:r>
          </w:p>
        </w:tc>
        <w:tc>
          <w:tcPr>
            <w:tcW w:w="193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教师资格证任教学科</w:t>
            </w:r>
          </w:p>
        </w:tc>
        <w:tc>
          <w:tcPr>
            <w:tcW w:w="129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</w:trPr>
        <w:tc>
          <w:tcPr>
            <w:tcW w:w="880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习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经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历</w:t>
            </w:r>
          </w:p>
        </w:tc>
        <w:tc>
          <w:tcPr>
            <w:tcW w:w="4119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</w:trPr>
        <w:tc>
          <w:tcPr>
            <w:tcW w:w="880" w:type="pct"/>
            <w:noWrap w:val="0"/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 xml:space="preserve"> 工 作 经 历</w:t>
            </w:r>
          </w:p>
        </w:tc>
        <w:tc>
          <w:tcPr>
            <w:tcW w:w="4119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NzY1OTcxZTdlYTMwYzVlOTU5YmFjY2QwMTVjYzIifQ=="/>
  </w:docVars>
  <w:rsids>
    <w:rsidRoot w:val="00000000"/>
    <w:rsid w:val="07691ADF"/>
    <w:rsid w:val="0A9B4C0D"/>
    <w:rsid w:val="0C301F70"/>
    <w:rsid w:val="0D5D4A10"/>
    <w:rsid w:val="11985E79"/>
    <w:rsid w:val="164D1414"/>
    <w:rsid w:val="170E354F"/>
    <w:rsid w:val="179B06DE"/>
    <w:rsid w:val="1A62247C"/>
    <w:rsid w:val="1A642D06"/>
    <w:rsid w:val="1CC16C1F"/>
    <w:rsid w:val="1FBB0009"/>
    <w:rsid w:val="21ED1832"/>
    <w:rsid w:val="238627B6"/>
    <w:rsid w:val="23963804"/>
    <w:rsid w:val="23B35FA4"/>
    <w:rsid w:val="242F7EE0"/>
    <w:rsid w:val="269704C4"/>
    <w:rsid w:val="2B7D3C27"/>
    <w:rsid w:val="2D031F0A"/>
    <w:rsid w:val="2F702374"/>
    <w:rsid w:val="3421711A"/>
    <w:rsid w:val="3C8A1D00"/>
    <w:rsid w:val="416C1BC3"/>
    <w:rsid w:val="418506CB"/>
    <w:rsid w:val="44A23616"/>
    <w:rsid w:val="4ADA7905"/>
    <w:rsid w:val="4B7630F1"/>
    <w:rsid w:val="4CD55219"/>
    <w:rsid w:val="50424731"/>
    <w:rsid w:val="558F7F2F"/>
    <w:rsid w:val="55DD0C9B"/>
    <w:rsid w:val="56F86EF7"/>
    <w:rsid w:val="57EA584B"/>
    <w:rsid w:val="580C1F6E"/>
    <w:rsid w:val="58C63C68"/>
    <w:rsid w:val="5B174637"/>
    <w:rsid w:val="5E5A0CB2"/>
    <w:rsid w:val="5F50045F"/>
    <w:rsid w:val="5FC7599E"/>
    <w:rsid w:val="5FE6031D"/>
    <w:rsid w:val="60054E73"/>
    <w:rsid w:val="698536CB"/>
    <w:rsid w:val="698A35C8"/>
    <w:rsid w:val="6BBC4884"/>
    <w:rsid w:val="6C1A647D"/>
    <w:rsid w:val="6D764E76"/>
    <w:rsid w:val="702549AF"/>
    <w:rsid w:val="71BA6DEF"/>
    <w:rsid w:val="7B152B01"/>
    <w:rsid w:val="7BE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1841</Words>
  <Characters>1945</Characters>
  <Lines>0</Lines>
  <Paragraphs>0</Paragraphs>
  <TotalTime>69</TotalTime>
  <ScaleCrop>false</ScaleCrop>
  <LinksUpToDate>false</LinksUpToDate>
  <CharactersWithSpaces>2041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2022-02-13T03:09:00Z</dcterms:created>
  <dc:creator>dell</dc:creator>
  <cp:lastModifiedBy>SX-T</cp:lastModifiedBy>
  <dcterms:modified xsi:type="dcterms:W3CDTF">2024-01-09T03:36:37Z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BBE7B964E23841B7BB4D8A4EBAD9791D_13</vt:lpwstr>
  </property>
</Properties>
</file>