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5"/>
          <w:rFonts w:hint="eastAsia" w:ascii="黑体" w:hAnsi="黑体" w:eastAsia="黑体" w:cs="黑体"/>
          <w:b w:val="0"/>
          <w:bCs/>
          <w:i w:val="0"/>
          <w:caps w:val="0"/>
          <w:spacing w:val="0"/>
          <w:w w:val="100"/>
          <w:kern w:val="2"/>
          <w:sz w:val="28"/>
          <w:szCs w:val="28"/>
          <w:lang w:val="en-US" w:eastAsia="zh-CN" w:bidi="ar-SA"/>
        </w:rPr>
      </w:pPr>
      <w:r>
        <w:rPr>
          <w:rStyle w:val="5"/>
          <w:rFonts w:hint="eastAsia" w:ascii="黑体" w:hAnsi="黑体" w:eastAsia="黑体" w:cs="黑体"/>
          <w:b w:val="0"/>
          <w:bCs/>
          <w:i w:val="0"/>
          <w:caps w:val="0"/>
          <w:spacing w:val="0"/>
          <w:w w:val="100"/>
          <w:kern w:val="2"/>
          <w:sz w:val="28"/>
          <w:szCs w:val="28"/>
          <w:lang w:val="en-US" w:eastAsia="zh-CN" w:bidi="ar-SA"/>
        </w:rPr>
        <w:t>附件3</w:t>
      </w:r>
    </w:p>
    <w:p>
      <w:pPr>
        <w:snapToGrid/>
        <w:spacing w:before="0" w:beforeAutospacing="0" w:after="0" w:afterAutospacing="0" w:line="240" w:lineRule="auto"/>
        <w:jc w:val="both"/>
        <w:textAlignment w:val="baseline"/>
        <w:rPr>
          <w:rStyle w:val="5"/>
          <w:rFonts w:eastAsia="宋体"/>
          <w:b/>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5"/>
          <w:rFonts w:eastAsia="宋体"/>
          <w:b/>
          <w:i w:val="0"/>
          <w:caps w:val="0"/>
          <w:spacing w:val="0"/>
          <w:w w:val="100"/>
          <w:kern w:val="2"/>
          <w:sz w:val="36"/>
          <w:szCs w:val="36"/>
          <w:lang w:val="en-US" w:eastAsia="zh-CN" w:bidi="ar-SA"/>
        </w:rPr>
      </w:pPr>
      <w:r>
        <w:rPr>
          <w:rStyle w:val="5"/>
          <w:rFonts w:eastAsia="宋体"/>
          <w:b/>
          <w:i w:val="0"/>
          <w:caps w:val="0"/>
          <w:spacing w:val="0"/>
          <w:w w:val="100"/>
          <w:kern w:val="2"/>
          <w:sz w:val="36"/>
          <w:szCs w:val="36"/>
          <w:lang w:val="en-US" w:eastAsia="zh-CN" w:bidi="ar-SA"/>
        </w:rPr>
        <w:drawing>
          <wp:inline distT="0" distB="0" distL="114300" distR="114300">
            <wp:extent cx="2400300" cy="52387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400300" cy="5238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baseline"/>
        <w:outlineLvl w:val="9"/>
        <w:rPr>
          <w:rStyle w:val="5"/>
          <w:rFonts w:hint="eastAsia" w:ascii="方正大标宋_GBK" w:hAnsi="方正大标宋_GBK" w:eastAsia="方正大标宋_GBK" w:cs="方正大标宋_GBK"/>
          <w:b/>
          <w:i w:val="0"/>
          <w:caps w:val="0"/>
          <w:spacing w:val="0"/>
          <w:w w:val="10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baseline"/>
        <w:outlineLvl w:val="9"/>
        <w:rPr>
          <w:rStyle w:val="5"/>
          <w:rFonts w:hint="eastAsia" w:ascii="方正大标宋_GBK" w:hAnsi="方正大标宋_GBK" w:eastAsia="方正大标宋_GBK" w:cs="方正大标宋_GBK"/>
          <w:b w:val="0"/>
          <w:bCs/>
          <w:i w:val="0"/>
          <w:caps w:val="0"/>
          <w:spacing w:val="0"/>
          <w:w w:val="100"/>
          <w:kern w:val="2"/>
          <w:sz w:val="44"/>
          <w:szCs w:val="44"/>
          <w:lang w:val="en-US" w:eastAsia="zh-CN" w:bidi="ar-SA"/>
        </w:rPr>
      </w:pPr>
      <w:bookmarkStart w:id="0" w:name="_GoBack"/>
      <w:r>
        <w:rPr>
          <w:rStyle w:val="5"/>
          <w:rFonts w:hint="eastAsia" w:ascii="方正大标宋_GBK" w:hAnsi="方正大标宋_GBK" w:eastAsia="方正大标宋_GBK" w:cs="方正大标宋_GBK"/>
          <w:b w:val="0"/>
          <w:bCs/>
          <w:i w:val="0"/>
          <w:caps w:val="0"/>
          <w:spacing w:val="0"/>
          <w:w w:val="100"/>
          <w:kern w:val="2"/>
          <w:sz w:val="44"/>
          <w:szCs w:val="44"/>
          <w:lang w:val="en-US" w:eastAsia="zh-CN" w:bidi="ar-SA"/>
        </w:rPr>
        <w:t>惠东县人民医院体检流程</w:t>
      </w:r>
    </w:p>
    <w:bookmarkEnd w:id="0"/>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5"/>
          <w:rFonts w:hint="eastAsia" w:ascii="黑体" w:hAnsi="黑体" w:eastAsia="黑体" w:cs="黑体"/>
          <w:b/>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5"/>
          <w:rFonts w:hint="eastAsia" w:ascii="仿宋_GB2312" w:hAnsi="仿宋_GB2312" w:eastAsia="仿宋_GB2312" w:cs="仿宋_GB2312"/>
          <w:b/>
          <w:bCs/>
          <w:i w:val="0"/>
          <w:caps w:val="0"/>
          <w:spacing w:val="0"/>
          <w:w w:val="100"/>
          <w:kern w:val="2"/>
          <w:sz w:val="32"/>
          <w:szCs w:val="32"/>
          <w:lang w:val="en-US" w:eastAsia="zh-CN" w:bidi="ar-SA"/>
        </w:rPr>
      </w:pPr>
      <w:r>
        <w:rPr>
          <w:rStyle w:val="5"/>
          <w:rFonts w:hint="eastAsia" w:ascii="黑体" w:hAnsi="黑体" w:eastAsia="黑体" w:cs="黑体"/>
          <w:b/>
          <w:bCs/>
          <w:i w:val="0"/>
          <w:caps w:val="0"/>
          <w:spacing w:val="0"/>
          <w:w w:val="100"/>
          <w:kern w:val="2"/>
          <w:sz w:val="32"/>
          <w:szCs w:val="32"/>
          <w:lang w:val="en-US" w:eastAsia="zh-CN" w:bidi="ar-SA"/>
        </w:rPr>
        <w:t>一、疫情防控要求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t>根据新冠肺炎疫情防控相关文件、指引及通知的要求，健康管理中心实行预约制体检（微信公众号、电话），或依照贵单位约定时间进行体检，避免大量体检人员聚集。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5"/>
          <w:rFonts w:hint="eastAsia" w:ascii="仿宋_GB2312" w:hAnsi="仿宋_GB2312" w:eastAsia="仿宋_GB2312" w:cs="仿宋_GB2312"/>
          <w:b w:val="0"/>
          <w:bCs w:val="0"/>
          <w:i w:val="0"/>
          <w:caps w:val="0"/>
          <w:color w:val="auto"/>
          <w:spacing w:val="0"/>
          <w:w w:val="100"/>
          <w:kern w:val="2"/>
          <w:sz w:val="32"/>
          <w:szCs w:val="32"/>
          <w:u w:val="none" w:color="auto"/>
          <w:lang w:val="en-US" w:eastAsia="zh-CN" w:bidi="ar-SA"/>
        </w:rPr>
      </w:pPr>
      <w:r>
        <w:rPr>
          <w:rStyle w:val="5"/>
          <w:rFonts w:hint="eastAsia" w:ascii="仿宋_GB2312" w:hAnsi="仿宋_GB2312" w:eastAsia="仿宋_GB2312" w:cs="仿宋_GB2312"/>
          <w:b w:val="0"/>
          <w:bCs w:val="0"/>
          <w:i w:val="0"/>
          <w:caps w:val="0"/>
          <w:color w:val="auto"/>
          <w:spacing w:val="0"/>
          <w:w w:val="100"/>
          <w:kern w:val="2"/>
          <w:sz w:val="32"/>
          <w:szCs w:val="32"/>
          <w:u w:val="none" w:color="auto"/>
          <w:lang w:val="en-US" w:eastAsia="zh-CN" w:bidi="ar-SA"/>
        </w:rPr>
        <w:t>注：来院健康体检疫情防控暂行措施如下：</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_GB2312" w:eastAsia="仿宋_GB2312" w:cs="仿宋_GB2312"/>
          <w:b w:val="0"/>
          <w:bCs w:val="0"/>
          <w:i w:val="0"/>
          <w:caps w:val="0"/>
          <w:color w:val="auto"/>
          <w:spacing w:val="0"/>
          <w:w w:val="100"/>
          <w:sz w:val="32"/>
          <w:szCs w:val="32"/>
        </w:rPr>
      </w:pPr>
      <w:r>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t>1.行程卡7天内未离开惠州地区的体检人员，符合办理体检事务。</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_GB2312" w:eastAsia="仿宋_GB2312" w:cs="仿宋_GB2312"/>
          <w:b w:val="0"/>
          <w:bCs w:val="0"/>
          <w:i w:val="0"/>
          <w:caps w:val="0"/>
          <w:color w:val="auto"/>
          <w:spacing w:val="0"/>
          <w:w w:val="100"/>
          <w:sz w:val="32"/>
          <w:szCs w:val="32"/>
        </w:rPr>
      </w:pPr>
      <w:r>
        <w:rPr>
          <w:rFonts w:hint="eastAsia" w:ascii="仿宋_GB2312" w:hAnsi="仿宋_GB2312" w:eastAsia="仿宋_GB2312" w:cs="仿宋_GB2312"/>
          <w:b w:val="0"/>
          <w:bCs w:val="0"/>
          <w:i w:val="0"/>
          <w:caps w:val="0"/>
          <w:color w:val="auto"/>
          <w:spacing w:val="0"/>
          <w:w w:val="100"/>
          <w:sz w:val="32"/>
          <w:szCs w:val="32"/>
          <w:lang w:val="en-US" w:eastAsia="zh-CN"/>
        </w:rPr>
        <w:t>2.</w:t>
      </w:r>
      <w:r>
        <w:rPr>
          <w:rFonts w:hint="eastAsia" w:ascii="仿宋_GB2312" w:hAnsi="仿宋_GB2312" w:eastAsia="仿宋_GB2312" w:cs="仿宋_GB2312"/>
          <w:b w:val="0"/>
          <w:bCs w:val="0"/>
          <w:i w:val="0"/>
          <w:caps w:val="0"/>
          <w:color w:val="auto"/>
          <w:spacing w:val="0"/>
          <w:w w:val="100"/>
          <w:sz w:val="32"/>
          <w:szCs w:val="32"/>
        </w:rPr>
        <w:t>对近期有7天内外省市旅居史，建议抵惠后第一时间就地开展一次核酸检测。</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_GB2312" w:eastAsia="仿宋_GB2312" w:cs="仿宋_GB2312"/>
          <w:b w:val="0"/>
          <w:bCs w:val="0"/>
          <w:i w:val="0"/>
          <w:caps w:val="0"/>
          <w:color w:val="auto"/>
          <w:spacing w:val="0"/>
          <w:w w:val="100"/>
          <w:sz w:val="32"/>
          <w:szCs w:val="32"/>
        </w:rPr>
      </w:pPr>
      <w:r>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t>3.7天内有省外，省内市外中高风险地区的按照最新的防控措施执行，高风险（第1、2、3、5、7天各开展一次核酸检测报告+7天集中隔离），中风险（第1、4、7天各开展一次核酸检测报告+7天居家隔离），低风险（3天内完成两次核酸检测）</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t>4.7天内有省外旅居史非中、高风险地区人员措施不变，仍需出示48小时核酸或落地核酸，无48小时核酸或落地核酸的可采核酸后凭证进人我院体检。</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_GB2312" w:eastAsia="仿宋_GB2312" w:cs="仿宋_GB2312"/>
          <w:b w:val="0"/>
          <w:bCs w:val="0"/>
          <w:i w:val="0"/>
          <w:caps w:val="0"/>
          <w:color w:val="auto"/>
          <w:spacing w:val="0"/>
          <w:w w:val="100"/>
          <w:sz w:val="32"/>
          <w:szCs w:val="32"/>
        </w:rPr>
      </w:pPr>
      <w:r>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t>5.健康管理中心入口处设有预检分诊复核点，体检客户需出示有效身份证件、粤健通健康申报码、场所码，配合工作人员进行流行病学史调查并测量体温，符合条件者予以进入中心。体检过程中务必全程佩戴医用口罩。</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bCs w:val="0"/>
          <w:i w:val="0"/>
          <w:caps w:val="0"/>
          <w:color w:val="auto"/>
          <w:spacing w:val="0"/>
          <w:w w:val="100"/>
          <w:kern w:val="2"/>
          <w:sz w:val="32"/>
          <w:szCs w:val="32"/>
          <w:lang w:val="en-US" w:eastAsia="zh-CN" w:bidi="ar-SA"/>
        </w:rPr>
        <w:t>6.若体检客户有以下情况之一， 请暂缓前来体检：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Style w:val="5"/>
          <w:rFonts w:hint="eastAsia" w:ascii="仿宋_GB2312" w:hAnsi="仿宋_GB2312" w:eastAsia="仿宋_GB2312" w:cs="仿宋_GB2312"/>
          <w:b w:val="0"/>
          <w:bCs w:val="0"/>
          <w:i w:val="0"/>
          <w:caps w:val="0"/>
          <w:color w:val="auto"/>
          <w:spacing w:val="0"/>
          <w:w w:val="100"/>
          <w:kern w:val="0"/>
          <w:sz w:val="32"/>
          <w:szCs w:val="32"/>
          <w:lang w:val="en-US" w:eastAsia="zh-CN"/>
        </w:rPr>
      </w:pPr>
      <w:r>
        <w:rPr>
          <w:rStyle w:val="5"/>
          <w:rFonts w:hint="eastAsia" w:ascii="仿宋_GB2312" w:hAnsi="仿宋_GB2312" w:eastAsia="仿宋_GB2312" w:cs="仿宋_GB2312"/>
          <w:b w:val="0"/>
          <w:bCs w:val="0"/>
          <w:i w:val="0"/>
          <w:caps w:val="0"/>
          <w:color w:val="auto"/>
          <w:spacing w:val="0"/>
          <w:w w:val="100"/>
          <w:kern w:val="0"/>
          <w:sz w:val="32"/>
          <w:szCs w:val="32"/>
          <w:lang w:val="en-US" w:eastAsia="zh-CN"/>
        </w:rPr>
        <w:t>发热(37.3°C及以上) ；体检客户14天内曾接触过新冠肺炎感染者（核酸检测阳性）</w:t>
      </w:r>
    </w:p>
    <w:p>
      <w:pPr>
        <w:pStyle w:val="9"/>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baseline"/>
        <w:outlineLvl w:val="9"/>
        <w:rPr>
          <w:rStyle w:val="5"/>
          <w:rFonts w:hint="eastAsia" w:ascii="黑体" w:hAnsi="黑体" w:eastAsia="黑体" w:cs="黑体"/>
          <w:b/>
          <w:i w:val="0"/>
          <w:caps w:val="0"/>
          <w:spacing w:val="0"/>
          <w:w w:val="100"/>
          <w:kern w:val="0"/>
          <w:sz w:val="32"/>
          <w:szCs w:val="32"/>
          <w:lang w:val="en-US" w:eastAsia="zh-CN"/>
        </w:rPr>
      </w:pPr>
      <w:r>
        <w:rPr>
          <w:rStyle w:val="5"/>
          <w:rFonts w:hint="eastAsia" w:ascii="仿宋_GB2312" w:hAnsi="仿宋_GB2312" w:eastAsia="仿宋_GB2312" w:cs="仿宋_GB2312"/>
          <w:b w:val="0"/>
          <w:bCs w:val="0"/>
          <w:i w:val="0"/>
          <w:caps w:val="0"/>
          <w:color w:val="auto"/>
          <w:spacing w:val="0"/>
          <w:w w:val="100"/>
          <w:kern w:val="0"/>
          <w:sz w:val="32"/>
          <w:szCs w:val="32"/>
          <w:lang w:val="en-US" w:eastAsia="zh-CN"/>
        </w:rPr>
        <w:t>体检前14天内有境外居住史旅游史或接触过境外返回的发热或有呼吸道症状的人员。</w:t>
      </w:r>
    </w:p>
    <w:p>
      <w:pPr>
        <w:pStyle w:val="9"/>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baseline"/>
        <w:outlineLvl w:val="9"/>
        <w:rPr>
          <w:rStyle w:val="5"/>
          <w:rFonts w:hint="eastAsia" w:ascii="黑体" w:hAnsi="黑体" w:eastAsia="黑体" w:cs="黑体"/>
          <w:b/>
          <w:i w:val="0"/>
          <w:caps w:val="0"/>
          <w:spacing w:val="0"/>
          <w:w w:val="100"/>
          <w:kern w:val="0"/>
          <w:sz w:val="32"/>
          <w:szCs w:val="32"/>
          <w:lang w:val="en-US" w:eastAsia="zh-CN"/>
        </w:rPr>
      </w:pPr>
      <w:r>
        <w:rPr>
          <w:rStyle w:val="5"/>
          <w:rFonts w:hint="eastAsia" w:ascii="仿宋_GB2312" w:hAnsi="仿宋_GB2312" w:eastAsia="仿宋_GB2312" w:cs="仿宋_GB2312"/>
          <w:b w:val="0"/>
          <w:bCs w:val="0"/>
          <w:i w:val="0"/>
          <w:caps w:val="0"/>
          <w:color w:val="auto"/>
          <w:spacing w:val="0"/>
          <w:w w:val="100"/>
          <w:kern w:val="0"/>
          <w:sz w:val="32"/>
          <w:szCs w:val="32"/>
          <w:lang w:val="en-US" w:eastAsia="zh-CN"/>
        </w:rPr>
        <w:t>广东省卫生健康委医政医管处每日发布的《最新疫情风险等级提醒》所标注的区域有关人员。</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baseline"/>
        <w:outlineLvl w:val="9"/>
        <w:rPr>
          <w:rStyle w:val="5"/>
          <w:rFonts w:hint="eastAsia" w:ascii="黑体" w:hAnsi="黑体" w:eastAsia="黑体" w:cs="黑体"/>
          <w:b/>
          <w:i w:val="0"/>
          <w:caps w:val="0"/>
          <w:spacing w:val="0"/>
          <w:w w:val="100"/>
          <w:kern w:val="0"/>
          <w:sz w:val="32"/>
          <w:szCs w:val="32"/>
          <w:lang w:val="en-US" w:eastAsia="zh-CN"/>
        </w:rPr>
      </w:pPr>
      <w:r>
        <w:rPr>
          <w:rStyle w:val="5"/>
          <w:rFonts w:hint="eastAsia" w:ascii="黑体" w:hAnsi="黑体" w:eastAsia="黑体" w:cs="黑体"/>
          <w:b/>
          <w:i w:val="0"/>
          <w:caps w:val="0"/>
          <w:spacing w:val="0"/>
          <w:w w:val="100"/>
          <w:kern w:val="0"/>
          <w:sz w:val="32"/>
          <w:szCs w:val="32"/>
          <w:lang w:val="en-US" w:eastAsia="zh-CN"/>
        </w:rPr>
        <w:t>二、体检基本流程</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000000"/>
          <w:spacing w:val="0"/>
          <w:w w:val="100"/>
          <w:sz w:val="32"/>
          <w:szCs w:val="32"/>
        </w:rPr>
      </w:pPr>
      <w:r>
        <w:rPr>
          <w:rStyle w:val="5"/>
          <w:rFonts w:hint="eastAsia" w:ascii="仿宋_GB2312" w:hAnsi="仿宋_GB2312" w:eastAsia="仿宋_GB2312" w:cs="仿宋_GB2312"/>
          <w:b w:val="0"/>
          <w:i w:val="0"/>
          <w:caps w:val="0"/>
          <w:spacing w:val="0"/>
          <w:w w:val="100"/>
          <w:kern w:val="0"/>
          <w:sz w:val="32"/>
          <w:szCs w:val="32"/>
          <w:lang w:val="en-US" w:eastAsia="zh-CN"/>
        </w:rPr>
        <w:t>1.体检基本流程：体检中心门口处签到</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出示本人有效身份证件（实名制体检，非本人不予受理）→抽签→领取体检项目表</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抽血化验</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测血压</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身高体重（BMI）</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Ｂ超检查</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心电图检查</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小便检查</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X线（DR）检查</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其他项目检查(内、外、五官科)</w:t>
      </w:r>
      <w:r>
        <w:rPr>
          <w:rStyle w:val="5"/>
          <w:rFonts w:hint="eastAsia" w:ascii="仿宋_GB2312" w:hAnsi="仿宋_GB2312" w:eastAsia="仿宋_GB2312" w:cs="仿宋_GB2312"/>
          <w:b/>
          <w:i w:val="0"/>
          <w:caps w:val="0"/>
          <w:spacing w:val="0"/>
          <w:w w:val="100"/>
          <w:kern w:val="0"/>
          <w:sz w:val="32"/>
          <w:szCs w:val="32"/>
          <w:lang w:val="en-US" w:eastAsia="zh-CN"/>
        </w:rPr>
        <w:t>→项目完成后体检表</w:t>
      </w:r>
      <w:r>
        <w:rPr>
          <w:rStyle w:val="5"/>
          <w:rFonts w:hint="eastAsia" w:ascii="仿宋_GB2312" w:hAnsi="仿宋_GB2312" w:eastAsia="仿宋_GB2312" w:cs="仿宋_GB2312"/>
          <w:b w:val="0"/>
          <w:i w:val="0"/>
          <w:caps w:val="0"/>
          <w:spacing w:val="0"/>
          <w:w w:val="100"/>
          <w:kern w:val="0"/>
          <w:sz w:val="32"/>
          <w:szCs w:val="32"/>
          <w:lang w:val="en-US" w:eastAsia="zh-CN"/>
        </w:rPr>
        <w:t>交还入口导诊处</w:t>
      </w:r>
      <w:r>
        <w:rPr>
          <w:rStyle w:val="5"/>
          <w:rFonts w:hint="eastAsia" w:ascii="仿宋_GB2312" w:hAnsi="仿宋_GB2312" w:eastAsia="仿宋_GB2312" w:cs="仿宋_GB2312"/>
          <w:b/>
          <w:i w:val="0"/>
          <w:caps w:val="0"/>
          <w:spacing w:val="0"/>
          <w:w w:val="100"/>
          <w:kern w:val="0"/>
          <w:sz w:val="32"/>
          <w:szCs w:val="32"/>
          <w:lang w:val="en-US" w:eastAsia="zh-CN"/>
        </w:rPr>
        <w:t>→</w:t>
      </w:r>
      <w:r>
        <w:rPr>
          <w:rStyle w:val="5"/>
          <w:rFonts w:hint="eastAsia" w:ascii="仿宋_GB2312" w:hAnsi="仿宋_GB2312" w:eastAsia="仿宋_GB2312" w:cs="仿宋_GB2312"/>
          <w:b w:val="0"/>
          <w:i w:val="0"/>
          <w:caps w:val="0"/>
          <w:spacing w:val="0"/>
          <w:w w:val="100"/>
          <w:kern w:val="0"/>
          <w:sz w:val="32"/>
          <w:szCs w:val="32"/>
          <w:lang w:val="en-US" w:eastAsia="zh-CN"/>
        </w:rPr>
        <w:t>体</w:t>
      </w:r>
      <w:r>
        <w:rPr>
          <w:rStyle w:val="5"/>
          <w:rFonts w:hint="eastAsia" w:ascii="仿宋_GB2312" w:hAnsi="仿宋_GB2312" w:eastAsia="仿宋_GB2312" w:cs="仿宋_GB2312"/>
          <w:b w:val="0"/>
          <w:i w:val="0"/>
          <w:caps w:val="0"/>
          <w:color w:val="000000"/>
          <w:spacing w:val="0"/>
          <w:w w:val="100"/>
          <w:kern w:val="0"/>
          <w:sz w:val="32"/>
          <w:szCs w:val="32"/>
          <w:lang w:val="en-US" w:eastAsia="zh-CN"/>
        </w:rPr>
        <w:t>检全程完毕(全部体检项目都在体检中心内完成)</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baseline"/>
        <w:outlineLvl w:val="9"/>
        <w:rPr>
          <w:rStyle w:val="5"/>
          <w:rFonts w:hint="eastAsia" w:ascii="仿宋_GB2312" w:hAnsi="仿宋_GB2312" w:eastAsia="仿宋_GB2312" w:cs="仿宋_GB2312"/>
          <w:b w:val="0"/>
          <w:bCs/>
          <w:i w:val="0"/>
          <w:caps w:val="0"/>
          <w:color w:val="000000"/>
          <w:spacing w:val="0"/>
          <w:w w:val="100"/>
          <w:kern w:val="0"/>
          <w:sz w:val="32"/>
          <w:szCs w:val="32"/>
          <w:lang w:val="en-US" w:eastAsia="zh-CN"/>
        </w:rPr>
      </w:pPr>
      <w:r>
        <w:rPr>
          <w:rStyle w:val="5"/>
          <w:rFonts w:hint="eastAsia" w:ascii="仿宋_GB2312" w:hAnsi="仿宋_GB2312" w:eastAsia="仿宋_GB2312" w:cs="仿宋_GB2312"/>
          <w:b w:val="0"/>
          <w:i w:val="0"/>
          <w:caps w:val="0"/>
          <w:color w:val="000000"/>
          <w:spacing w:val="0"/>
          <w:w w:val="100"/>
          <w:kern w:val="0"/>
          <w:sz w:val="32"/>
          <w:szCs w:val="32"/>
          <w:lang w:val="en-US" w:eastAsia="zh-CN"/>
        </w:rPr>
        <w:t>2.健康</w:t>
      </w:r>
      <w:r>
        <w:rPr>
          <w:rStyle w:val="5"/>
          <w:rFonts w:hint="eastAsia" w:ascii="仿宋_GB2312" w:hAnsi="仿宋_GB2312" w:eastAsia="仿宋_GB2312" w:cs="仿宋_GB2312"/>
          <w:b w:val="0"/>
          <w:bCs/>
          <w:i w:val="0"/>
          <w:caps w:val="0"/>
          <w:spacing w:val="0"/>
          <w:w w:val="100"/>
          <w:kern w:val="0"/>
          <w:sz w:val="32"/>
          <w:szCs w:val="32"/>
          <w:lang w:val="en-US" w:eastAsia="zh-CN"/>
        </w:rPr>
        <w:t>管理中心欢迎您咨询及联系，前台咨询电话：0752—8999600 8999906</w:t>
      </w:r>
    </w:p>
    <w:p>
      <w:pPr>
        <w:snapToGrid/>
        <w:spacing w:before="0" w:beforeAutospacing="0" w:after="0" w:afterAutospacing="0" w:line="240" w:lineRule="auto"/>
        <w:ind w:right="840"/>
        <w:jc w:val="center"/>
        <w:textAlignment w:val="baseline"/>
        <w:rPr>
          <w:rStyle w:val="5"/>
          <w:rFonts w:ascii="新宋体" w:hAnsi="新宋体" w:eastAsia="新宋体" w:cs="Times New Roman"/>
          <w:b w:val="0"/>
          <w:bCs/>
          <w:i w:val="0"/>
          <w:caps w:val="0"/>
          <w:spacing w:val="0"/>
          <w:w w:val="100"/>
          <w:kern w:val="2"/>
          <w:sz w:val="28"/>
          <w:szCs w:val="28"/>
          <w:lang w:val="en-US" w:eastAsia="zh-CN" w:bidi="ar-SA"/>
        </w:rPr>
      </w:pPr>
      <w:r>
        <w:rPr>
          <w:rStyle w:val="5"/>
          <w:rFonts w:ascii="新宋体" w:hAnsi="新宋体" w:eastAsia="新宋体" w:cs="Times New Roman"/>
          <w:b w:val="0"/>
          <w:bCs/>
          <w:i w:val="0"/>
          <w:caps w:val="0"/>
          <w:spacing w:val="0"/>
          <w:w w:val="100"/>
          <w:kern w:val="2"/>
          <w:sz w:val="28"/>
          <w:szCs w:val="28"/>
          <w:lang w:val="en-US" w:eastAsia="zh-CN" w:bidi="ar-SA"/>
        </w:rPr>
        <w:drawing>
          <wp:inline distT="0" distB="0" distL="114300" distR="114300">
            <wp:extent cx="2916555" cy="4445635"/>
            <wp:effectExtent l="0" t="0" r="952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916555" cy="4445635"/>
                    </a:xfrm>
                    <a:prstGeom prst="rect">
                      <a:avLst/>
                    </a:prstGeom>
                    <a:noFill/>
                    <a:ln w="9525">
                      <a:noFill/>
                    </a:ln>
                  </pic:spPr>
                </pic:pic>
              </a:graphicData>
            </a:graphic>
          </wp:inline>
        </w:drawing>
      </w:r>
      <w:r>
        <w:rPr>
          <w:rStyle w:val="5"/>
          <w:rFonts w:ascii="新宋体" w:hAnsi="新宋体" w:eastAsia="新宋体" w:cs="Times New Roman"/>
          <w:b/>
          <w:bCs/>
          <w:i w:val="0"/>
          <w:caps w:val="0"/>
          <w:spacing w:val="0"/>
          <w:w w:val="100"/>
          <w:kern w:val="2"/>
          <w:sz w:val="32"/>
          <w:szCs w:val="32"/>
          <w:lang w:val="en-US" w:eastAsia="zh-CN" w:bidi="ar-SA"/>
        </w:rPr>
        <w:drawing>
          <wp:inline distT="0" distB="0" distL="114300" distR="114300">
            <wp:extent cx="2576830" cy="4170680"/>
            <wp:effectExtent l="0" t="0" r="1397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576830" cy="4170680"/>
                    </a:xfrm>
                    <a:prstGeom prst="rect">
                      <a:avLst/>
                    </a:prstGeom>
                    <a:noFill/>
                    <a:ln w="9525">
                      <a:noFill/>
                    </a:ln>
                  </pic:spPr>
                </pic:pic>
              </a:graphicData>
            </a:graphic>
          </wp:inline>
        </w:drawing>
      </w:r>
    </w:p>
    <w:p>
      <w:pPr>
        <w:snapToGrid/>
        <w:spacing w:before="0" w:beforeAutospacing="0" w:after="0" w:afterAutospacing="0" w:line="240" w:lineRule="auto"/>
        <w:ind w:right="840"/>
        <w:jc w:val="center"/>
        <w:textAlignment w:val="baseline"/>
        <w:rPr>
          <w:rStyle w:val="5"/>
          <w:rFonts w:hint="eastAsia" w:ascii="黑体" w:hAnsi="黑体" w:eastAsia="黑体" w:cs="黑体"/>
          <w:b w:val="0"/>
          <w:bCs w:val="0"/>
          <w:i w:val="0"/>
          <w:caps w:val="0"/>
          <w:spacing w:val="0"/>
          <w:w w:val="100"/>
          <w:kern w:val="2"/>
          <w:sz w:val="32"/>
          <w:szCs w:val="32"/>
          <w:lang w:val="en-US" w:eastAsia="zh-CN" w:bidi="ar-SA"/>
        </w:rPr>
      </w:pPr>
      <w:r>
        <w:rPr>
          <w:rStyle w:val="5"/>
          <w:rFonts w:hint="eastAsia" w:ascii="黑体" w:hAnsi="黑体" w:eastAsia="黑体" w:cs="黑体"/>
          <w:b w:val="0"/>
          <w:bCs w:val="0"/>
          <w:i w:val="0"/>
          <w:caps w:val="0"/>
          <w:spacing w:val="0"/>
          <w:w w:val="100"/>
          <w:kern w:val="2"/>
          <w:sz w:val="32"/>
          <w:szCs w:val="32"/>
          <w:lang w:val="en-US" w:eastAsia="zh-CN" w:bidi="ar-SA"/>
        </w:rPr>
        <w:t xml:space="preserve">  场所通行打卡码                 粤建通健康申报码</w:t>
      </w:r>
    </w:p>
    <w:p>
      <w:pPr>
        <w:snapToGrid/>
        <w:spacing w:before="0" w:beforeAutospacing="0" w:after="0" w:afterAutospacing="0" w:line="240" w:lineRule="auto"/>
        <w:ind w:right="840" w:firstLine="1285" w:firstLineChars="400"/>
        <w:jc w:val="left"/>
        <w:textAlignment w:val="baseline"/>
        <w:rPr>
          <w:rStyle w:val="5"/>
          <w:rFonts w:ascii="新宋体" w:hAnsi="新宋体" w:eastAsia="新宋体" w:cs="Times New Roman"/>
          <w:b/>
          <w:bCs/>
          <w:i w:val="0"/>
          <w:caps w:val="0"/>
          <w:spacing w:val="0"/>
          <w:w w:val="100"/>
          <w:kern w:val="2"/>
          <w:sz w:val="32"/>
          <w:szCs w:val="32"/>
          <w:lang w:val="en-US" w:eastAsia="zh-CN" w:bidi="ar-SA"/>
        </w:rPr>
      </w:pPr>
    </w:p>
    <w:p>
      <w:pPr>
        <w:snapToGrid/>
        <w:spacing w:before="0" w:beforeAutospacing="0" w:after="0" w:afterAutospacing="0" w:line="240" w:lineRule="auto"/>
        <w:ind w:right="840"/>
        <w:jc w:val="center"/>
        <w:textAlignment w:val="baseline"/>
        <w:rPr>
          <w:rStyle w:val="5"/>
          <w:rFonts w:ascii="新宋体" w:hAnsi="新宋体" w:eastAsia="新宋体" w:cs="Times New Roman"/>
          <w:b/>
          <w:bCs/>
          <w:i w:val="0"/>
          <w:caps w:val="0"/>
          <w:spacing w:val="0"/>
          <w:w w:val="100"/>
          <w:kern w:val="2"/>
          <w:sz w:val="32"/>
          <w:szCs w:val="32"/>
          <w:lang w:val="en-US" w:eastAsia="zh-CN" w:bidi="ar-SA"/>
        </w:rPr>
      </w:pPr>
      <w:r>
        <w:rPr>
          <w:rStyle w:val="5"/>
          <w:rFonts w:ascii="新宋体" w:hAnsi="新宋体" w:eastAsia="新宋体" w:cs="Times New Roman"/>
          <w:b/>
          <w:bCs/>
          <w:i w:val="0"/>
          <w:caps w:val="0"/>
          <w:spacing w:val="0"/>
          <w:w w:val="100"/>
          <w:kern w:val="2"/>
          <w:sz w:val="32"/>
          <w:szCs w:val="32"/>
          <w:lang w:val="en-US" w:eastAsia="zh-CN" w:bidi="ar-SA"/>
        </w:rPr>
        <w:drawing>
          <wp:inline distT="0" distB="0" distL="114300" distR="114300">
            <wp:extent cx="4138295" cy="3281045"/>
            <wp:effectExtent l="0" t="0" r="698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138295" cy="3281045"/>
                    </a:xfrm>
                    <a:prstGeom prst="rect">
                      <a:avLst/>
                    </a:prstGeom>
                    <a:noFill/>
                    <a:ln w="9525">
                      <a:noFill/>
                    </a:ln>
                  </pic:spPr>
                </pic:pic>
              </a:graphicData>
            </a:graphic>
          </wp:inline>
        </w:drawing>
      </w:r>
    </w:p>
    <w:p>
      <w:pPr>
        <w:snapToGrid/>
        <w:spacing w:before="0" w:beforeAutospacing="0" w:after="0" w:afterAutospacing="0" w:line="240" w:lineRule="auto"/>
        <w:ind w:right="840"/>
        <w:jc w:val="center"/>
        <w:textAlignment w:val="baseline"/>
        <w:rPr>
          <w:rStyle w:val="5"/>
          <w:rFonts w:hint="eastAsia" w:ascii="黑体" w:hAnsi="黑体" w:eastAsia="黑体" w:cs="黑体"/>
          <w:b/>
          <w:bCs/>
          <w:i w:val="0"/>
          <w:caps w:val="0"/>
          <w:spacing w:val="0"/>
          <w:w w:val="100"/>
          <w:kern w:val="2"/>
          <w:sz w:val="32"/>
          <w:szCs w:val="32"/>
          <w:lang w:val="en-US" w:eastAsia="zh-CN" w:bidi="ar-SA"/>
        </w:rPr>
      </w:pPr>
      <w:r>
        <w:rPr>
          <w:rStyle w:val="5"/>
          <w:rFonts w:hint="eastAsia" w:ascii="黑体" w:hAnsi="黑体" w:eastAsia="黑体" w:cs="黑体"/>
          <w:b/>
          <w:bCs/>
          <w:i w:val="0"/>
          <w:caps w:val="0"/>
          <w:spacing w:val="0"/>
          <w:w w:val="100"/>
          <w:kern w:val="2"/>
          <w:sz w:val="32"/>
          <w:szCs w:val="32"/>
          <w:lang w:val="en-US" w:eastAsia="zh-CN" w:bidi="ar-SA"/>
        </w:rPr>
        <w:t>惠东县人民医院健康管理中心公众号</w:t>
      </w:r>
    </w:p>
    <w:sectPr>
      <w:footerReference r:id="rId3" w:type="default"/>
      <w:footerReference r:id="rId4" w:type="even"/>
      <w:pgSz w:w="11906" w:h="16838"/>
      <w:pgMar w:top="1134" w:right="794" w:bottom="850" w:left="102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rFonts w:eastAsia="宋体"/>
        <w:kern w:val="2"/>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IczFb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p>
    <w:pPr>
      <w:pStyle w:val="2"/>
      <w:widowControl/>
      <w:snapToGrid w:val="0"/>
      <w:jc w:val="left"/>
      <w:textAlignment w:val="baseline"/>
      <w:rPr>
        <w:rStyle w:val="5"/>
        <w:rFonts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7"/>
        <w:rFonts w:eastAsia="宋体"/>
        <w:kern w:val="2"/>
        <w:sz w:val="18"/>
        <w:szCs w:val="18"/>
        <w:lang w:val="en-US" w:eastAsia="zh-CN" w:bidi="ar-SA"/>
      </w:rPr>
    </w:pPr>
  </w:p>
  <w:p>
    <w:pPr>
      <w:pStyle w:val="2"/>
      <w:widowControl/>
      <w:snapToGrid w:val="0"/>
      <w:jc w:val="left"/>
      <w:textAlignment w:val="baseline"/>
      <w:rPr>
        <w:rStyle w:val="5"/>
        <w:rFonts w:eastAsia="宋体"/>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91853"/>
    <w:multiLevelType w:val="singleLevel"/>
    <w:tmpl w:val="F3391853"/>
    <w:lvl w:ilvl="0" w:tentative="0">
      <w:start w:val="1"/>
      <w:numFmt w:val="decimal"/>
      <w:suff w:val="space"/>
      <w:lvlText w:val="(%1)"/>
      <w:lvlJc w:val="left"/>
      <w:pPr>
        <w:widowControl/>
        <w:textAlignment w:val="baseline"/>
      </w:pPr>
      <w:rPr>
        <w:rStyle w:val="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01836"/>
    <w:rsid w:val="0BB83784"/>
    <w:rsid w:val="248C4196"/>
    <w:rsid w:val="337471FD"/>
    <w:rsid w:val="475E125D"/>
    <w:rsid w:val="4C771F5A"/>
    <w:rsid w:val="57F823C9"/>
    <w:rsid w:val="58AD34BC"/>
    <w:rsid w:val="721019F6"/>
    <w:rsid w:val="742039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eastAsia="宋体"/>
      <w:kern w:val="2"/>
      <w:sz w:val="18"/>
      <w:szCs w:val="18"/>
      <w:lang w:val="en-US" w:eastAsia="zh-CN" w:bidi="ar-SA"/>
    </w:rPr>
  </w:style>
  <w:style w:type="character" w:customStyle="1" w:styleId="5">
    <w:name w:val="NormalCharacter"/>
    <w:link w:val="1"/>
    <w:semiHidden/>
    <w:qFormat/>
    <w:uiPriority w:val="0"/>
  </w:style>
  <w:style w:type="table" w:customStyle="1" w:styleId="6">
    <w:name w:val="TableNormal"/>
    <w:semiHidden/>
    <w:qFormat/>
    <w:uiPriority w:val="0"/>
  </w:style>
  <w:style w:type="character" w:customStyle="1" w:styleId="7">
    <w:name w:val="PageNumber"/>
    <w:basedOn w:val="5"/>
    <w:link w:val="1"/>
    <w:qFormat/>
    <w:uiPriority w:val="0"/>
  </w:style>
  <w:style w:type="paragraph" w:customStyle="1" w:styleId="8">
    <w:name w:val="Acetate"/>
    <w:basedOn w:val="1"/>
    <w:semiHidden/>
    <w:qFormat/>
    <w:uiPriority w:val="0"/>
    <w:pPr>
      <w:jc w:val="both"/>
      <w:textAlignment w:val="baseline"/>
    </w:pPr>
    <w:rPr>
      <w:rFonts w:eastAsia="宋体"/>
      <w:kern w:val="2"/>
      <w:sz w:val="18"/>
      <w:szCs w:val="18"/>
      <w:lang w:val="en-US" w:eastAsia="zh-CN" w:bidi="ar-SA"/>
    </w:rPr>
  </w:style>
  <w:style w:type="paragraph" w:customStyle="1" w:styleId="9">
    <w:name w:val="HtmlNormal"/>
    <w:basedOn w:val="1"/>
    <w:qFormat/>
    <w:uiPriority w:val="0"/>
    <w:pPr>
      <w:spacing w:before="100" w:beforeAutospacing="1" w:after="100" w:afterAutospacing="1"/>
      <w:ind w:left="0" w:right="0"/>
      <w:jc w:val="left"/>
      <w:textAlignment w:val="baseline"/>
    </w:pPr>
    <w:rPr>
      <w:rFonts w:eastAsia="宋体"/>
      <w:kern w:val="0"/>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2022-08-31T09:00:00Z</dcterms:created>
  <dc:creator>123</dc:creator>
  <cp:lastModifiedBy>zzc</cp:lastModifiedBy>
  <dcterms:modified xsi:type="dcterms:W3CDTF">2022-08-31T11:05:07Z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40CFC22FCE634C77832D543C2C11725F</vt:lpwstr>
  </property>
</Properties>
</file>