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80"/>
        <w:rPr>
          <w:rFonts w:hint="default" w:ascii="仿宋_GB2312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4"/>
          <w:szCs w:val="34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sz w:val="34"/>
          <w:szCs w:val="3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center"/>
        <w:textAlignment w:val="auto"/>
        <w:rPr>
          <w:rFonts w:hint="eastAsia" w:ascii="黑体" w:hAnsi="Times New Roman" w:eastAsia="黑体" w:cs="Times New Roman"/>
          <w:b/>
          <w:sz w:val="36"/>
          <w:szCs w:val="36"/>
          <w:lang w:eastAsia="zh-CN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教师</w:t>
      </w:r>
      <w:r>
        <w:rPr>
          <w:rFonts w:hint="eastAsia" w:ascii="黑体" w:hAnsi="Times New Roman" w:eastAsia="黑体" w:cs="Times New Roman"/>
          <w:b/>
          <w:sz w:val="36"/>
          <w:szCs w:val="36"/>
          <w:lang w:eastAsia="zh-CN"/>
        </w:rPr>
        <w:t>进城</w:t>
      </w:r>
      <w:r>
        <w:rPr>
          <w:rFonts w:hint="eastAsia" w:ascii="黑体" w:hAnsi="Times New Roman" w:eastAsia="黑体" w:cs="Times New Roman"/>
          <w:b/>
          <w:sz w:val="36"/>
          <w:szCs w:val="36"/>
        </w:rPr>
        <w:t>选调</w:t>
      </w:r>
      <w:r>
        <w:rPr>
          <w:rFonts w:hint="eastAsia" w:ascii="黑体" w:hAnsi="Times New Roman" w:eastAsia="黑体" w:cs="Times New Roman"/>
          <w:b/>
          <w:sz w:val="36"/>
          <w:szCs w:val="36"/>
          <w:lang w:eastAsia="zh-CN"/>
        </w:rPr>
        <w:t>业绩考核清单（近三年）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（语文、数学、英语、科学）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一、参与管理（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2019-2021学年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二、年度考核（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2019-2021年度）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三、课堂教学评比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四、单项业务比赛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五、论文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六、课题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七、教学业绩（名次率、排名等表述）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八、个人荣誉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（音乐、美术、体育、信息）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一、参与管理（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2019-2021学年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二、年度考核（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2019-2021年度）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三、课堂教学评比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四、单项业务比赛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五、指导学生获奖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六、论文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七、课题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八、个人荣誉</w:t>
      </w:r>
    </w:p>
    <w:p/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15A99"/>
    <w:rsid w:val="7361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2022-08-04T12:00:00Z</dcterms:created>
  <dc:creator>麦穗</dc:creator>
  <cp:lastModifiedBy>麦穗</cp:lastModifiedBy>
  <dcterms:modified xsi:type="dcterms:W3CDTF">2022-08-04T12:01:08Z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