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page" w:horzAnchor="margin" w:tblpXSpec="left" w:tblpY="2461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959"/>
        <w:gridCol w:w="911"/>
        <w:gridCol w:w="932"/>
        <w:gridCol w:w="708"/>
        <w:gridCol w:w="2372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序号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招聘单位规范全称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招聘岗位名称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招聘人数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color w:val="000000"/>
                <w:sz w:val="20"/>
                <w:szCs w:val="20"/>
              </w:rPr>
              <w:t>学历条件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color w:val="00000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高中数学教师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数学类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高中英语教师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英语类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高中政治教师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高中物理教师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物理类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高中化学教师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化学类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高中生物教师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生物类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高中历史教师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历史类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高中地理教师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地理类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高中信息技术教师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信息技术类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普通招生计划全日制本科及以上或公费师范毕业生。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noWrap/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梁河县职业高级中学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中餐烹饪实训教师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中餐烹饪类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同等条件下，取得高中教师资格证、有教学工作经验优先录用。</w:t>
            </w:r>
          </w:p>
        </w:tc>
      </w:tr>
    </w:tbl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梁河县职业高级中学2022年秋季招聘外聘教师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岗位设置表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27D82"/>
    <w:rsid w:val="3E027D82"/>
    <w:rsid w:val="694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德宏州梁河县党政机关单位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2022-07-26T08:56:00Z</dcterms:created>
  <dc:creator>玬</dc:creator>
  <cp:lastModifiedBy>玬</cp:lastModifiedBy>
  <dcterms:modified xsi:type="dcterms:W3CDTF">2022-07-26T10:17:07Z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