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附表1</w:t>
      </w:r>
    </w:p>
    <w:p>
      <w:pPr>
        <w:spacing w:after="120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3"/>
        <w:gridCol w:w="534"/>
        <w:gridCol w:w="1367"/>
        <w:gridCol w:w="1048"/>
        <w:gridCol w:w="1096"/>
        <w:gridCol w:w="581"/>
        <w:gridCol w:w="605"/>
        <w:gridCol w:w="145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52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8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2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8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2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794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8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9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2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2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5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6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资格复审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资格复审意见（合格/不合格）：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资格复审不合格的原因：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是否符合同等条件下优先聘用（是/否）：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6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62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384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县级人事部门意见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7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62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384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880" w:firstLineChars="1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474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p>
      <w:pPr>
        <w:spacing w:line="32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说明：该表一式三份，双面打印，考生留存一份，教育行政部门和学校留存、入档两份。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36"/>
          <w:szCs w:val="36"/>
        </w:rPr>
        <w:t>《20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请考生按照本人真实情况和在四川人事考试网上报考</w:t>
      </w:r>
      <w:r>
        <w:rPr>
          <w:rFonts w:hint="eastAsia" w:ascii="仿宋_GB2312" w:hAnsi="宋体" w:eastAsia="仿宋_GB2312"/>
          <w:sz w:val="24"/>
        </w:rPr>
        <w:t>特岗教师填报的信息</w:t>
      </w:r>
      <w:r>
        <w:rPr>
          <w:rFonts w:hint="eastAsia" w:ascii="仿宋_GB2312" w:eastAsia="仿宋_GB2312"/>
          <w:color w:val="000000"/>
          <w:sz w:val="24"/>
        </w:rPr>
        <w:t>，用计算机如实规范填写《20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张贴2寸近期证件照。如隐瞒有关情况或填报虚假信息、提供虚假材料，一经查实，录用主管机关有权取消报考者的考试资格或录用资格，所造成的损失由报考者本人承担。具体栏目填写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“姓名”：要准确填写，中间不能有空格。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“身份证号”:准确按照身份证上的编号填写。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“民族”：填写本人所属民族。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“政治面貌”：选择“共产党员”“共青团员”“群众”等。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“毕业院校”：填写毕业院校准确、完整的名称。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“最高学历”：填写全日制普通教育中获得的最高学历，如“本科”“大专”“研究生”等。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“所学专业”：填写最高全日制学历的专业。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“学位”：空白、“学士”“硕士”等。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“考生类型”：“普通应届毕业生”“其他就业人员”“待业或下岗人员”等。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“学习类型”：“全日制普通高校”“成人教育”“其他”等。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“健康状况”：“健康”“一般”“体质差”。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“联系电话”和“手机号码”：要填写有效联系电话，便于招聘工作人员在必要时联络本人。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“毕业时间”：以毕业证为准，如实填写毕业时间。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“专业学习类别”：“师范类”或“非师范类”。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“毕业证书编号”：按照毕业证如实填写编号，对于在校无违法违纪行为并能按时毕业的应届毕业生，可以填写“暂未取得”或“正在办理”。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“教师资格种类”：选择填写“中等职业学校教师资格”“高级中学教师资格”“初级中学教师资格”“小学教师资格”“无”等。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“个人简历”栏，要从小学入学填写到现在，中间不能断档。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“笔试成绩”栏，按照四川人事考试网上公布的笔试成绩（即“教育公共基础笔试成绩”“专业知识笔试成绩”和“笔试综合成绩”）进行填写。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20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“本人承诺”栏，考生认真阅读后，确认亲笔签字（不得用计算机填写该处的考生姓名）。该栏之后的内容，由资格复审、面试考核工作人员及相关单位填写。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2022-07-19T06:07:47Z</dcterms:created>
  <dc:creator>Administrator</dc:creator>
  <cp:lastModifiedBy>Administrator</cp:lastModifiedBy>
  <dcterms:modified xsi:type="dcterms:W3CDTF">2022-07-19T06:08:11Z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