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泉台管〔20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泉州台商投资区管理委员会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调整师范类高校硕士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工作生活补助标准实施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教育人才安居工程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各乡镇人民政府，区直各部门，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为进一步加大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师范类高校硕士研究生的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引进力度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吸引教育人才向我区聚集，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让教育人才扎根台商区、服务台商区，经研究，决定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调整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师范类高校硕士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工作生活补助标准，实施教育人才安居工程，现将有关事项通知如下：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一、实施对象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本文件的实施对象为引进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六所教育部属院校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首都师范大学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师范类毕业，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取得全日制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研究生学历、硕士以上学位，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5周岁以下，采用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公开招聘、专项招聘等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方式聘用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的在编教师，以下简称教育人才。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二、调整工作生活补助发放年限及标准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经学校考核，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考核结果合格及以上等次者，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发放3年，逐年考核逐年发放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三、实施教育人才安居工程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1.调整购房补助标准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教育人才购房补助标准调整为60万元，按比例分期分年度发放。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第一期，对引进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教育人才在泉州台商投资区购置商品房的，发放购房补助30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万元（分3次发放，其中第1年发放50%，15万元；第2年发放25%，7.5万元；第3年发放25%，7.5万元）；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第二期，服务期满5年后，增发购房补助30万元（分2次发放，第6年发放50%，15万元；第8年发放50%，15万元）。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2.提供人才配套住房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学校周边110-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教育人才5年的使用权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（免予租金）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过户给教育人才，并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办理产权变更登记，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产权归个人所有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夫妻双方均属引进的教育人才，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学校周边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的使用权（免予租金），服务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过户给教育人才，并办理产权变更登记，产权归教育人才所有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过户产生的各项税费由教育人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才自行承担。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购房补助和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人才配套住房仅可选择其中一项申领。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四、经费渠道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引进教育人才实施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安居工程所需经费从海丝教育基金支出、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从区财政专项支出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1.学校根据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教育教学工作要求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制定考核方案，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每年对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教育人才进行考核，考核合格以上的，兑现工作生活补助款、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款（不含第1年申领购房补助款），并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报区教育文体旅游局备案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申领人才配套住房的教育人才，须经学校连续5年考核合格后，方可申请产权过户。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2.申领购房补助的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已申领的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退还增发的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申请人才配套住房的教育人才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政府退回教育人才购房款。教育人才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原属于毛坯房，由教育人才自行装修的，装修款项按市场评估价由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超出面积，按市场价购买的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夫妻双方均属引进的教育人才，享受160平方米人才配套住房政策，如果夫妻其中一人违约，超出40平方米的人才配套住房，由配偶按照市场价补缴。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同时符合本区多项鼓励政策条款或性质相似条款的，按最高标准兑现，不重复享受。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5.引进教育人才在课题研究、论文发表、专著出版、组建工作室、进修学习等方面，学校或区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教育文体旅游局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将给予一定的资金支持，为其提升教学、教研和管理水平搭建平台、创造条件。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6.引进教育人才子女经申请，优先安排至泉州台商投资区优质学校就读。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调整教育人才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工作生活补助标准和实施教育人才安居工程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执行期限从印发之日起，有效期至2024年5月31日。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8.如有未尽事宜，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教育文体旅游局负责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泉州台商投资区管理委员会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pPr w:leftFromText="180" w:rightFromText="180" w:vertAnchor="text" w:horzAnchor="page" w:tblpX="1506" w:tblpY="2137"/>
        <w:tblOverlap w:val="never"/>
        <w:tblW w:w="91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3"/>
        <w:gridCol w:w="3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8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zh-CN"/>
              </w:rPr>
              <w:t>泉州台商投资区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管理委员会</w:t>
            </w:r>
          </w:p>
        </w:tc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zh-CN"/>
              </w:rPr>
              <w:t>20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zh-CN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2154" w:right="1531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15EE7"/>
    <w:rsid w:val="01726B5E"/>
    <w:rsid w:val="121520C2"/>
    <w:rsid w:val="17A01C60"/>
    <w:rsid w:val="1B6E1056"/>
    <w:rsid w:val="227E35E1"/>
    <w:rsid w:val="2758795E"/>
    <w:rsid w:val="2BFB3BB0"/>
    <w:rsid w:val="2F8531DD"/>
    <w:rsid w:val="301347D4"/>
    <w:rsid w:val="329B30CD"/>
    <w:rsid w:val="3462654E"/>
    <w:rsid w:val="34B17A0F"/>
    <w:rsid w:val="35415EE7"/>
    <w:rsid w:val="3AE46497"/>
    <w:rsid w:val="46076555"/>
    <w:rsid w:val="460972E0"/>
    <w:rsid w:val="4ADA5426"/>
    <w:rsid w:val="4E6C3A97"/>
    <w:rsid w:val="570677D3"/>
    <w:rsid w:val="654E75A1"/>
    <w:rsid w:val="69327F8E"/>
    <w:rsid w:val="6AC12D7B"/>
    <w:rsid w:val="6AC622A9"/>
    <w:rsid w:val="7A861202"/>
    <w:rsid w:val="7F9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2021-06-01T07:19:00Z</dcterms:created>
  <dc:creator>001</dc:creator>
  <cp:lastModifiedBy>001</cp:lastModifiedBy>
  <cp:lastPrinted>2021-06-01T08:54:00Z</cp:lastPrinted>
  <dcterms:modified xsi:type="dcterms:W3CDTF">2021-11-04T07:29:45Z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79D9F99EC9E240F0A0DBF4D13088C308</vt:lpwstr>
  </property>
</Properties>
</file>