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right="0"/>
      </w:pPr>
      <w:r>
        <w:rPr>
          <w:rFonts w:ascii="黑体" w:hAnsi="宋体" w:eastAsia="黑体" w:cs="黑体"/>
          <w:i w:val="0"/>
          <w:iCs w:val="0"/>
          <w:caps w:val="0"/>
          <w:color w:val="000000"/>
          <w:spacing w:val="0"/>
          <w:sz w:val="32"/>
          <w:szCs w:val="32"/>
          <w:shd w:val="clear" w:fill="FFFFFF"/>
        </w:rPr>
        <w:t>附件1</w:t>
      </w:r>
    </w:p>
    <w:p>
      <w:pPr>
        <w:pStyle w:val="2"/>
        <w:keepNext w:val="0"/>
        <w:keepLines w:val="0"/>
        <w:widowControl/>
        <w:suppressLineNumbers w:val="0"/>
        <w:ind w:left="0" w:right="0"/>
        <w:jc w:val="center"/>
      </w:pPr>
      <w:r>
        <w:rPr>
          <w:rFonts w:ascii="方正小标宋_GBK" w:hAnsi="方正小标宋_GBK" w:eastAsia="方正小标宋_GBK" w:cs="方正小标宋_GBK"/>
          <w:i w:val="0"/>
          <w:iCs w:val="0"/>
          <w:caps w:val="0"/>
          <w:color w:val="000000"/>
          <w:spacing w:val="0"/>
          <w:sz w:val="44"/>
          <w:szCs w:val="44"/>
          <w:shd w:val="clear" w:fill="FFFFFF"/>
        </w:rPr>
        <w:t>中小学教师资格考试（笔试）科目类别及有关说明</w:t>
      </w:r>
    </w:p>
    <w:p>
      <w:pPr>
        <w:pStyle w:val="2"/>
        <w:keepNext w:val="0"/>
        <w:keepLines w:val="0"/>
        <w:widowControl/>
        <w:suppressLineNumbers w:val="0"/>
        <w:ind w:left="0" w:right="0"/>
      </w:pPr>
      <w:r>
        <w:rPr>
          <w:rFonts w:ascii="仿宋_GB2312" w:hAnsi="微软雅黑" w:eastAsia="仿宋_GB2312" w:cs="仿宋_GB2312"/>
          <w:i w:val="0"/>
          <w:iCs w:val="0"/>
          <w:caps w:val="0"/>
          <w:color w:val="000000"/>
          <w:spacing w:val="0"/>
          <w:sz w:val="32"/>
          <w:szCs w:val="32"/>
          <w:shd w:val="clear" w:fill="FFFFFF"/>
        </w:rPr>
        <w:t>中小学教师资格考试（笔试）实行全国统一命题、统一考试、统一划定合格线。宁夏2021年下半年中小学教师资格考试（笔试）全部采取纸笔考试形式进行，每科考试时间为120分钟。</w:t>
      </w:r>
    </w:p>
    <w:p>
      <w:pPr>
        <w:pStyle w:val="2"/>
        <w:keepNext w:val="0"/>
        <w:keepLines w:val="0"/>
        <w:widowControl/>
        <w:suppressLineNumbers w:val="0"/>
        <w:ind w:left="0" w:right="0"/>
        <w:jc w:val="center"/>
      </w:pPr>
      <w:r>
        <w:rPr>
          <w:rStyle w:val="5"/>
          <w:rFonts w:hint="default" w:ascii="仿宋_GB2312" w:hAnsi="微软雅黑" w:eastAsia="仿宋_GB2312" w:cs="仿宋_GB2312"/>
          <w:i w:val="0"/>
          <w:iCs w:val="0"/>
          <w:caps w:val="0"/>
          <w:color w:val="000000"/>
          <w:spacing w:val="0"/>
          <w:sz w:val="32"/>
          <w:szCs w:val="32"/>
          <w:shd w:val="clear" w:fill="FFFFFF"/>
        </w:rPr>
        <w:t>2021年下半年中小学教师资格考试（笔试）日程安排表</w:t>
      </w:r>
    </w:p>
    <w:p>
      <w:pPr>
        <w:pStyle w:val="2"/>
        <w:keepNext w:val="0"/>
        <w:keepLines w:val="0"/>
        <w:widowControl/>
        <w:suppressLineNumbers w:val="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ind w:left="0" w:right="0"/>
        <w:jc w:val="left"/>
      </w:pPr>
      <w:r>
        <w:rPr>
          <w:rStyle w:val="5"/>
          <w:rFonts w:hint="default" w:ascii="仿宋_GB2312" w:hAnsi="微软雅黑" w:eastAsia="仿宋_GB2312" w:cs="仿宋_GB2312"/>
          <w:i w:val="0"/>
          <w:iCs w:val="0"/>
          <w:caps w:val="0"/>
          <w:color w:val="000000"/>
          <w:spacing w:val="0"/>
          <w:sz w:val="32"/>
          <w:szCs w:val="32"/>
          <w:shd w:val="clear" w:fill="FFFFFF"/>
        </w:rPr>
        <w:t>一、初级中学</w:t>
      </w:r>
      <w:r>
        <w:rPr>
          <w:rFonts w:hint="default" w:ascii="仿宋_GB2312" w:hAnsi="微软雅黑" w:eastAsia="仿宋_GB2312" w:cs="仿宋_GB2312"/>
          <w:i w:val="0"/>
          <w:iCs w:val="0"/>
          <w:caps w:val="0"/>
          <w:color w:val="000000"/>
          <w:spacing w:val="0"/>
          <w:sz w:val="32"/>
          <w:szCs w:val="32"/>
          <w:shd w:val="clear" w:fill="FFFFFF"/>
        </w:rPr>
        <w:t>学科知识与教学能力科目为：语文、数学、物理、化学、生物、历史、地理、思想品德、英语、音乐、美术、体育与健康、历史与社会科学、信息技术、科学15个学科。</w:t>
      </w:r>
    </w:p>
    <w:p>
      <w:pPr>
        <w:pStyle w:val="2"/>
        <w:keepNext w:val="0"/>
        <w:keepLines w:val="0"/>
        <w:widowControl/>
        <w:suppressLineNumbers w:val="0"/>
        <w:ind w:left="0" w:right="0"/>
        <w:jc w:val="left"/>
      </w:pPr>
      <w:r>
        <w:rPr>
          <w:rFonts w:hint="default" w:ascii="仿宋_GB2312" w:hAnsi="微软雅黑" w:eastAsia="仿宋_GB2312" w:cs="仿宋_GB2312"/>
          <w:i w:val="0"/>
          <w:iCs w:val="0"/>
          <w:caps w:val="0"/>
          <w:color w:val="000000"/>
          <w:spacing w:val="0"/>
          <w:sz w:val="32"/>
          <w:szCs w:val="32"/>
          <w:shd w:val="clear" w:fill="FFFFFF"/>
        </w:rPr>
        <w:t>二、</w:t>
      </w:r>
      <w:r>
        <w:rPr>
          <w:rStyle w:val="5"/>
          <w:rFonts w:hint="default" w:ascii="仿宋_GB2312" w:hAnsi="微软雅黑" w:eastAsia="仿宋_GB2312" w:cs="仿宋_GB2312"/>
          <w:i w:val="0"/>
          <w:iCs w:val="0"/>
          <w:caps w:val="0"/>
          <w:color w:val="000000"/>
          <w:spacing w:val="0"/>
          <w:sz w:val="32"/>
          <w:szCs w:val="32"/>
          <w:shd w:val="clear" w:fill="FFFFFF"/>
        </w:rPr>
        <w:t>高级中学、中职文化课</w:t>
      </w:r>
      <w:r>
        <w:rPr>
          <w:rFonts w:hint="default" w:ascii="仿宋_GB2312" w:hAnsi="微软雅黑" w:eastAsia="仿宋_GB2312" w:cs="仿宋_GB2312"/>
          <w:i w:val="0"/>
          <w:iCs w:val="0"/>
          <w:caps w:val="0"/>
          <w:color w:val="000000"/>
          <w:spacing w:val="0"/>
          <w:sz w:val="32"/>
          <w:szCs w:val="32"/>
          <w:shd w:val="clear" w:fill="FFFFFF"/>
        </w:rPr>
        <w:t>的学科知识与教学能力科目为：语文、数学、物理、化学、生物、历史、地理、思想政治、英语、音乐、美术、体育与健康、信息技术、通用技术14个学科。</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三、</w:t>
      </w:r>
      <w:r>
        <w:rPr>
          <w:rStyle w:val="5"/>
          <w:rFonts w:hint="default" w:ascii="仿宋_GB2312" w:hAnsi="微软雅黑" w:eastAsia="仿宋_GB2312" w:cs="仿宋_GB2312"/>
          <w:i w:val="0"/>
          <w:iCs w:val="0"/>
          <w:caps w:val="0"/>
          <w:color w:val="000000"/>
          <w:spacing w:val="0"/>
          <w:sz w:val="32"/>
          <w:szCs w:val="32"/>
          <w:shd w:val="clear" w:fill="FFFFFF"/>
        </w:rPr>
        <w:t>申请中职专业课、中职实习指导</w:t>
      </w:r>
      <w:r>
        <w:rPr>
          <w:rFonts w:hint="default" w:ascii="仿宋_GB2312" w:hAnsi="微软雅黑" w:eastAsia="仿宋_GB2312" w:cs="仿宋_GB2312"/>
          <w:i w:val="0"/>
          <w:iCs w:val="0"/>
          <w:caps w:val="0"/>
          <w:color w:val="000000"/>
          <w:spacing w:val="0"/>
          <w:sz w:val="32"/>
          <w:szCs w:val="32"/>
          <w:shd w:val="clear" w:fill="FFFFFF"/>
        </w:rPr>
        <w:t>教师资格的人员参加高级中学教师的综合素质（中学）和教育知识与能力两科考试。学科知识与教学能力一科，结合面试环节进行考查。</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四、根据教育部教师工作司印发的《关于中小学教师资格考试音、体、美专业考生公共科目单独编码的通知》（教师司函〔2017〕34号）精神，自2017年下半年起：</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（一）对音、体、美专业考生的笔试公共科目一、科目二（科目代码201、202、301、302）实行单独编码（相应科目代码：201A、202A、301A、302A）,考试内容暂与原科目相同。</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（二）实行单独编码后，音、体、美专业考生在笔试报名时应选报单独编码的公共科目。</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（三）取得科目201A、202A合格的考生，面试仅限于参加小学类别音、体、美专业科目。</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（四）取得科目301A、302A合格的考生，面试仅限于参加初中、高中、中职文化课类别音、体、美专业科目。</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（五）考生已获得科目201、202、301、302合格成绩，可相应替代科目201A、202A、301A、302A合格成绩。</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（六）考生已获得科目201A、202A、301A、302A合格成绩，不可替代科目201、202、301、302合格成绩。</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五、根据《教育部教师工作司关于中小学教师资格考试增加“心理健康教育”等学科的通知》（教师司函〔2017〕41号）文件要求，自2017年下半年开始，中小学教师资格考试类别中：</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（一）</w:t>
      </w:r>
      <w:r>
        <w:rPr>
          <w:rStyle w:val="5"/>
          <w:rFonts w:hint="default" w:ascii="仿宋_GB2312" w:hAnsi="微软雅黑" w:eastAsia="仿宋_GB2312" w:cs="仿宋_GB2312"/>
          <w:i w:val="0"/>
          <w:iCs w:val="0"/>
          <w:caps w:val="0"/>
          <w:color w:val="000000"/>
          <w:spacing w:val="0"/>
          <w:sz w:val="32"/>
          <w:szCs w:val="32"/>
          <w:shd w:val="clear" w:fill="FFFFFF"/>
        </w:rPr>
        <w:t>小学</w:t>
      </w:r>
      <w:r>
        <w:rPr>
          <w:rFonts w:hint="default" w:ascii="仿宋_GB2312" w:hAnsi="微软雅黑" w:eastAsia="仿宋_GB2312" w:cs="仿宋_GB2312"/>
          <w:i w:val="0"/>
          <w:iCs w:val="0"/>
          <w:caps w:val="0"/>
          <w:color w:val="000000"/>
          <w:spacing w:val="0"/>
          <w:sz w:val="32"/>
          <w:szCs w:val="32"/>
          <w:shd w:val="clear" w:fill="FFFFFF"/>
        </w:rPr>
        <w:t>类别面试增设“心理健康教育”“信息技术”“小学全科”学科；</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（二）</w:t>
      </w:r>
      <w:r>
        <w:rPr>
          <w:rStyle w:val="5"/>
          <w:rFonts w:hint="default" w:ascii="仿宋_GB2312" w:hAnsi="微软雅黑" w:eastAsia="仿宋_GB2312" w:cs="仿宋_GB2312"/>
          <w:i w:val="0"/>
          <w:iCs w:val="0"/>
          <w:caps w:val="0"/>
          <w:color w:val="000000"/>
          <w:spacing w:val="0"/>
          <w:sz w:val="32"/>
          <w:szCs w:val="32"/>
          <w:shd w:val="clear" w:fill="FFFFFF"/>
        </w:rPr>
        <w:t>初中、高中、中职文化课</w:t>
      </w:r>
      <w:r>
        <w:rPr>
          <w:rFonts w:hint="default" w:ascii="仿宋_GB2312" w:hAnsi="微软雅黑" w:eastAsia="仿宋_GB2312" w:cs="仿宋_GB2312"/>
          <w:i w:val="0"/>
          <w:iCs w:val="0"/>
          <w:caps w:val="0"/>
          <w:color w:val="000000"/>
          <w:spacing w:val="0"/>
          <w:sz w:val="32"/>
          <w:szCs w:val="32"/>
          <w:shd w:val="clear" w:fill="FFFFFF"/>
        </w:rPr>
        <w:t>类别面试增设“心理健康教育”“日语”“俄语”学科，以上三个新增学科的笔试科目三《学科知识与教学能力》结合面试一并考核；</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请有意报考上述学科教师资格证的考生在笔试报考时选择相应的公共科目（201、202或301、302）报考。</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六、根据《教育部教师工作司关于调整中小学教师资格考试部分考试科目名称的通知》（教师司函〔2021〕14号），自2021年6月起对中小学教师资格考试小学社会等科目名称进行相应调整，具体如下：</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（一）小学面试科目中，“小学社会”调整为“小学道德与法治”；</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（二）初级中学笔试科目中，“思想品德学科知识与教学能力（初级中学）” 调整为“道德与法治学科知识与教学能力（初级中学）”；</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（三）初级中学面试科目中，“思想品德（初级中学）”调整为“道德与法治（初级中学）”。</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上述考试科目名称调整后，在新的考试大纲颁布之前原科目考试大纲仍然适用，考生已通过且在有效期内的科目成绩仍然有效。已参加2021年上半年中小学教师资格考试（面试）的考生，面试科目名称、考试合格证明中相应有关信息以及教师认定任教学科名称将使用调整后的名称。</w:t>
      </w:r>
    </w:p>
    <w:p>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附件2</w:t>
      </w:r>
    </w:p>
    <w:p>
      <w:pPr>
        <w:pStyle w:val="2"/>
        <w:keepNext w:val="0"/>
        <w:keepLines w:val="0"/>
        <w:widowControl/>
        <w:suppressLineNumbers w:val="0"/>
        <w:ind w:left="0" w:right="0"/>
        <w:jc w:val="center"/>
      </w:pPr>
      <w:r>
        <w:rPr>
          <w:rFonts w:hint="default" w:ascii="方正小标宋_GBK" w:hAnsi="方正小标宋_GBK" w:eastAsia="方正小标宋_GBK" w:cs="方正小标宋_GBK"/>
          <w:i w:val="0"/>
          <w:iCs w:val="0"/>
          <w:caps w:val="0"/>
          <w:color w:val="000000"/>
          <w:spacing w:val="0"/>
          <w:sz w:val="44"/>
          <w:szCs w:val="44"/>
          <w:shd w:val="clear" w:fill="FFFFFF"/>
        </w:rPr>
        <w:t>中小学教师资格考试（笔试）报名考试流程</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 报名分为考生网上信息输入、网上确认和网上缴费三个阶段。</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一、网上信息输入</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第一步：登录。9月2日开放网上报名后，考生登录中小学教师资格考试网站（http://ntce.neea.edu.cn）。</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第二步：注册。考生需首先进行注册。。在完成注册后，按照流程填写个人信息、上传电子照片。对非首次报考且需保留笔试单科合格成绩的考生，注册时要注意检查填写信息（特别是姓名、身份证号、照片）的真实性和准确性，避免出现因前后信息不一致引起的笔试单科成绩无法保留问题。</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照片要求：本人近6个月以内的免冠正面彩色证件照；照片大小、格式为jpg/jpeg，不大于200K；照片中显示考生头部和肩的上部，白色背景。不允许带头巾、发带、墨镜等装饰物。（建议使用Microsoft Office Picture Manager,图画, Photoshop, ACDsee等工具,将照片进行剪裁压缩）。此照片将用于准考证、中小学教师资格考试合格证明等，请考生上传照片时慎重选用，照片审核不通过的考生报名无效。</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第三步：考生根据本人情况选择考区、考试科目。考区是考生进行网上确认的地点，具体考试地点以考生下载的准考证上地址为准（网上审核主要审核考生照片、考生信息的完整性，如因“照片不合格”或户籍不符等原因而未通过审核，考生在重新上传照片或修改个人资料的同时，还需重新选报省份、类别、科目。否则，本次报名无效）。</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考生须在报名前仔细阅读中小学教师资格考试（笔试）报名公告中的各项内容和规定，并充分了解报考所需的各项条件。考生应对提供的报名姓名、性别、民族、学历等信息和照片真实性、准确性负全责，同时必须在报名系统中对“诚信考试承诺”进行确认。如果考生在不符合报名条件的情况下获得中小学教师资格考试（笔试）报名资格并通过笔试考试，后续出现无法考试、无法认定等情况，由此产生的后果由考生自负。</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特别提醒：</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禁止培训机构、学校团体和他人替代考生本人报名，如违反规定造成信息有误、无法考试、无法认定等情况，责任由考生本人承担。</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二、网上信息审核确认</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考生在成功提交报名信息的24小时以后，需再次登录报名系统查看本人报名资格审查结果。确认点工作人员要在考务管理系统上进行“报名审核通过确认”操作，否则考生无法进行网上缴费。</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三、网上缴费</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根据教试中心〔2013〕130号文件精神，中小学教师资格考试报名实行网上缴费。报名信息经过网上审核确认后，考生再次登录报名网站进行缴费。缴费完成后，考生报名成功。已进行网上确认未进行网上缴费的，报名无效。</w:t>
      </w:r>
    </w:p>
    <w:p>
      <w:pPr>
        <w:pStyle w:val="2"/>
        <w:keepNext w:val="0"/>
        <w:keepLines w:val="0"/>
        <w:widowControl/>
        <w:suppressLineNumbers w:val="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Style w:val="5"/>
          <w:rFonts w:hint="eastAsia" w:ascii="宋体" w:hAnsi="宋体" w:eastAsia="宋体" w:cs="宋体"/>
          <w:i w:val="0"/>
          <w:iCs w:val="0"/>
          <w:caps w:val="0"/>
          <w:color w:val="000000"/>
          <w:spacing w:val="0"/>
          <w:sz w:val="32"/>
          <w:szCs w:val="32"/>
          <w:shd w:val="clear" w:fill="FFFFFF"/>
        </w:rPr>
        <w:t>中小学教师资格考试网上支付流程</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四、考生准考证获取</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准考证格式由教育部考试中心统一规定。考生在2021年10月25日至30日登录中小学教师资格考试网站（http://ntce.neea.edu.cn）自行下载并打印准考证，并按照准考证规定的时间、地点参加考试。</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五、收费标准</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按照自治区物价局、财政厅《关于我区中小学教师资格考试笔试收费标准的复函》（宁价费发〔2015〕37号）文件，宁夏考生每科按65元标准收费。</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六、其他事项</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（一）笔试执行教育部中小学教师资格《考试标准》和《考试大纲》（考生可通过http://ntce.neea.edu.cn网站免费下载）。笔试不指定教材，不组织培训。</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（二）笔试成绩查询时间为12月9日起，届时考生可通过中小学教师资格考试网站（http://ntce.neea.edu.cn）查询本人成绩。</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（三）考生如忘记密码，可通过以下三种途径重置密码：</w:t>
      </w:r>
    </w:p>
    <w:p>
      <w:pPr>
        <w:pStyle w:val="2"/>
        <w:keepNext w:val="0"/>
        <w:keepLines w:val="0"/>
        <w:widowControl/>
        <w:suppressLineNumbers w:val="0"/>
        <w:ind w:left="0" w:right="0"/>
      </w:pPr>
      <w:r>
        <w:rPr>
          <w:rStyle w:val="5"/>
          <w:rFonts w:hint="default" w:ascii="仿宋_GB2312" w:hAnsi="微软雅黑" w:eastAsia="仿宋_GB2312" w:cs="仿宋_GB2312"/>
          <w:i w:val="0"/>
          <w:iCs w:val="0"/>
          <w:caps w:val="0"/>
          <w:color w:val="000000"/>
          <w:spacing w:val="0"/>
          <w:sz w:val="32"/>
          <w:szCs w:val="32"/>
          <w:shd w:val="clear" w:fill="FFFFFF"/>
        </w:rPr>
        <w:t>第一种</w:t>
      </w:r>
      <w:r>
        <w:rPr>
          <w:rFonts w:hint="default" w:ascii="仿宋_GB2312" w:hAnsi="微软雅黑" w:eastAsia="仿宋_GB2312" w:cs="仿宋_GB2312"/>
          <w:i w:val="0"/>
          <w:iCs w:val="0"/>
          <w:caps w:val="0"/>
          <w:color w:val="000000"/>
          <w:spacing w:val="0"/>
          <w:sz w:val="32"/>
          <w:szCs w:val="32"/>
          <w:shd w:val="clear" w:fill="FFFFFF"/>
        </w:rPr>
        <w:t>自助重置密码：考生可通过回答注册时预设的“密码保护问题”自助重置密码。</w:t>
      </w:r>
    </w:p>
    <w:p>
      <w:pPr>
        <w:pStyle w:val="2"/>
        <w:keepNext w:val="0"/>
        <w:keepLines w:val="0"/>
        <w:widowControl/>
        <w:suppressLineNumbers w:val="0"/>
        <w:ind w:left="0" w:right="0"/>
      </w:pPr>
      <w:r>
        <w:rPr>
          <w:rStyle w:val="5"/>
          <w:rFonts w:hint="default" w:ascii="仿宋_GB2312" w:hAnsi="微软雅黑" w:eastAsia="仿宋_GB2312" w:cs="仿宋_GB2312"/>
          <w:i w:val="0"/>
          <w:iCs w:val="0"/>
          <w:caps w:val="0"/>
          <w:color w:val="000000"/>
          <w:spacing w:val="0"/>
          <w:sz w:val="32"/>
          <w:szCs w:val="32"/>
          <w:shd w:val="clear" w:fill="FFFFFF"/>
        </w:rPr>
        <w:t>第二种</w:t>
      </w:r>
      <w:r>
        <w:rPr>
          <w:rFonts w:hint="default" w:ascii="仿宋_GB2312" w:hAnsi="微软雅黑" w:eastAsia="仿宋_GB2312" w:cs="仿宋_GB2312"/>
          <w:i w:val="0"/>
          <w:iCs w:val="0"/>
          <w:caps w:val="0"/>
          <w:color w:val="000000"/>
          <w:spacing w:val="0"/>
          <w:sz w:val="32"/>
          <w:szCs w:val="32"/>
          <w:shd w:val="clear" w:fill="FFFFFF"/>
        </w:rPr>
        <w:t>短信获取密码：考生可通过报名注册时所填写的手机号码短信获取密码。</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注：手机短信为考生重新获取密码的重要途径，在参加中小学教师资格考试期间，请考生慎重更换手机号码。</w:t>
      </w:r>
    </w:p>
    <w:p>
      <w:pPr>
        <w:pStyle w:val="2"/>
        <w:keepNext w:val="0"/>
        <w:keepLines w:val="0"/>
        <w:widowControl/>
        <w:suppressLineNumbers w:val="0"/>
        <w:ind w:left="0" w:right="0"/>
      </w:pPr>
      <w:r>
        <w:rPr>
          <w:rStyle w:val="5"/>
          <w:rFonts w:hint="default" w:ascii="仿宋_GB2312" w:hAnsi="微软雅黑" w:eastAsia="仿宋_GB2312" w:cs="仿宋_GB2312"/>
          <w:i w:val="0"/>
          <w:iCs w:val="0"/>
          <w:caps w:val="0"/>
          <w:color w:val="000000"/>
          <w:spacing w:val="0"/>
          <w:sz w:val="32"/>
          <w:szCs w:val="32"/>
          <w:shd w:val="clear" w:fill="FFFFFF"/>
        </w:rPr>
        <w:t>第三种</w:t>
      </w:r>
      <w:r>
        <w:rPr>
          <w:rFonts w:hint="default" w:ascii="仿宋_GB2312" w:hAnsi="微软雅黑" w:eastAsia="仿宋_GB2312" w:cs="仿宋_GB2312"/>
          <w:i w:val="0"/>
          <w:iCs w:val="0"/>
          <w:caps w:val="0"/>
          <w:color w:val="000000"/>
          <w:spacing w:val="0"/>
          <w:sz w:val="32"/>
          <w:szCs w:val="32"/>
          <w:shd w:val="clear" w:fill="FFFFFF"/>
        </w:rPr>
        <w:t>拔打教育部考试中心客服电话：考生可在工作时间内通过拨打教育部考试中心客服电话进行密码重置。</w:t>
      </w:r>
    </w:p>
    <w:p>
      <w:pPr>
        <w:pStyle w:val="2"/>
        <w:keepNext w:val="0"/>
        <w:keepLines w:val="0"/>
        <w:widowControl/>
        <w:suppressLineNumbers w:val="0"/>
        <w:ind w:left="0" w:right="0"/>
      </w:pPr>
      <w:r>
        <w:rPr>
          <w:rStyle w:val="5"/>
          <w:rFonts w:hint="default" w:ascii="仿宋_GB2312" w:hAnsi="微软雅黑" w:eastAsia="仿宋_GB2312" w:cs="仿宋_GB2312"/>
          <w:i w:val="0"/>
          <w:iCs w:val="0"/>
          <w:caps w:val="0"/>
          <w:color w:val="000000"/>
          <w:spacing w:val="0"/>
          <w:sz w:val="32"/>
          <w:szCs w:val="32"/>
          <w:shd w:val="clear" w:fill="FFFFFF"/>
        </w:rPr>
        <w:t>客服电话010-82345677</w:t>
      </w:r>
      <w:r>
        <w:rPr>
          <w:rFonts w:hint="default" w:ascii="仿宋_GB2312" w:hAnsi="微软雅黑" w:eastAsia="仿宋_GB2312" w:cs="仿宋_GB2312"/>
          <w:i w:val="0"/>
          <w:iCs w:val="0"/>
          <w:caps w:val="0"/>
          <w:color w:val="000000"/>
          <w:spacing w:val="0"/>
          <w:sz w:val="32"/>
          <w:szCs w:val="32"/>
          <w:shd w:val="clear" w:fill="FFFFFF"/>
        </w:rPr>
        <w:t>。</w:t>
      </w:r>
    </w:p>
    <w:p>
      <w:pPr>
        <w:pStyle w:val="2"/>
        <w:keepNext w:val="0"/>
        <w:keepLines w:val="0"/>
        <w:widowControl/>
        <w:suppressLineNumbers w:val="0"/>
        <w:ind w:left="0" w:right="0"/>
      </w:pPr>
      <w:r>
        <w:rPr>
          <w:rFonts w:hint="default" w:ascii="仿宋_GB2312" w:hAnsi="微软雅黑" w:eastAsia="仿宋_GB2312" w:cs="仿宋_GB2312"/>
          <w:i w:val="0"/>
          <w:iCs w:val="0"/>
          <w:caps w:val="0"/>
          <w:color w:val="000000"/>
          <w:spacing w:val="0"/>
          <w:sz w:val="32"/>
          <w:szCs w:val="32"/>
          <w:shd w:val="clear" w:fill="FFFFFF"/>
        </w:rPr>
        <w:t>（四）其他考试有关事项请考生关注并登录教育部中小学教师资格考试网站（http://ntce.neea.edu.cn）或宁夏教育考试院网（https://www.nxjyks.cn）。</w:t>
      </w:r>
    </w:p>
    <w:p>
      <w:pPr>
        <w:pStyle w:val="2"/>
        <w:keepNext w:val="0"/>
        <w:keepLines w:val="0"/>
        <w:widowControl/>
        <w:suppressLineNumbers w:val="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附件3</w:t>
      </w:r>
    </w:p>
    <w:p>
      <w:pPr>
        <w:pStyle w:val="2"/>
        <w:keepNext w:val="0"/>
        <w:keepLines w:val="0"/>
        <w:widowControl/>
        <w:suppressLineNumbers w:val="0"/>
        <w:ind w:left="357" w:right="0"/>
        <w:jc w:val="center"/>
      </w:pPr>
      <w:r>
        <w:rPr>
          <w:rFonts w:hint="default" w:ascii="方正小标宋_GBK" w:hAnsi="方正小标宋_GBK" w:eastAsia="方正小标宋_GBK" w:cs="方正小标宋_GBK"/>
          <w:i w:val="0"/>
          <w:iCs w:val="0"/>
          <w:caps w:val="0"/>
          <w:color w:val="000000"/>
          <w:spacing w:val="0"/>
          <w:sz w:val="44"/>
          <w:szCs w:val="44"/>
          <w:shd w:val="clear" w:fill="FFFFFF"/>
        </w:rPr>
        <w:t>中小学教师资格考试（笔试）科目代码列表 </w:t>
      </w:r>
    </w:p>
    <w:tbl>
      <w:tblPr>
        <w:tblW w:w="8409" w:type="dxa"/>
        <w:jc w:val="center"/>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80"/>
        <w:gridCol w:w="4388"/>
        <w:gridCol w:w="815"/>
        <w:gridCol w:w="1826"/>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708" w:hRule="atLeast"/>
          <w:jc w:val="center"/>
        </w:trPr>
        <w:tc>
          <w:tcPr>
            <w:tcW w:w="846"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right"/>
            </w:pPr>
            <w:r>
              <w:rPr>
                <w:rFonts w:hint="eastAsia" w:ascii="宋体" w:hAnsi="宋体" w:eastAsia="宋体" w:cs="宋体"/>
                <w:color w:val="000000"/>
                <w:sz w:val="27"/>
                <w:szCs w:val="27"/>
              </w:rPr>
              <w:t>序号</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科目名称</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科目</w:t>
            </w:r>
          </w:p>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代码</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备注</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481" w:hRule="atLeast"/>
          <w:jc w:val="center"/>
        </w:trPr>
        <w:tc>
          <w:tcPr>
            <w:tcW w:w="846"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right"/>
            </w:pPr>
            <w:r>
              <w:rPr>
                <w:rStyle w:val="5"/>
                <w:rFonts w:hint="eastAsia" w:ascii="宋体" w:hAnsi="宋体" w:eastAsia="宋体" w:cs="宋体"/>
                <w:color w:val="000000"/>
                <w:sz w:val="27"/>
                <w:szCs w:val="27"/>
              </w:rPr>
              <w:t>（一）</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Style w:val="5"/>
                <w:rFonts w:hint="eastAsia" w:ascii="宋体" w:hAnsi="宋体" w:eastAsia="宋体" w:cs="宋体"/>
                <w:color w:val="000000"/>
                <w:sz w:val="27"/>
                <w:szCs w:val="27"/>
              </w:rPr>
              <w:t>幼儿园</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综合素质（幼儿园）</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101</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2"/>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保教知识与能力</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102</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color w:val="000000"/>
                <w:sz w:val="18"/>
                <w:szCs w:val="1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484" w:hRule="atLeast"/>
          <w:jc w:val="center"/>
        </w:trPr>
        <w:tc>
          <w:tcPr>
            <w:tcW w:w="846"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right"/>
            </w:pPr>
            <w:r>
              <w:rPr>
                <w:rStyle w:val="5"/>
                <w:rFonts w:hint="eastAsia" w:ascii="宋体" w:hAnsi="宋体" w:eastAsia="宋体" w:cs="宋体"/>
                <w:color w:val="000000"/>
                <w:sz w:val="27"/>
                <w:szCs w:val="27"/>
              </w:rPr>
              <w:t>（二）</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Style w:val="5"/>
                <w:rFonts w:hint="eastAsia" w:ascii="宋体" w:hAnsi="宋体" w:eastAsia="宋体" w:cs="宋体"/>
                <w:color w:val="000000"/>
                <w:sz w:val="27"/>
                <w:szCs w:val="27"/>
              </w:rPr>
              <w:t>小学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综合素质（小学）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201</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4"/>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综合素质（小学）（音体美专业）</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201A</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5"/>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教育教学知识与能力</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202</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6"/>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教育教学知识与能力（音体美专业）</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202A</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543" w:hRule="atLeast"/>
          <w:jc w:val="center"/>
        </w:trPr>
        <w:tc>
          <w:tcPr>
            <w:tcW w:w="846"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right"/>
            </w:pPr>
            <w:r>
              <w:rPr>
                <w:rStyle w:val="5"/>
                <w:rFonts w:hint="eastAsia" w:ascii="宋体" w:hAnsi="宋体" w:eastAsia="宋体" w:cs="宋体"/>
                <w:color w:val="000000"/>
                <w:sz w:val="27"/>
                <w:szCs w:val="27"/>
              </w:rPr>
              <w:t>（三）</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Style w:val="5"/>
                <w:rFonts w:hint="eastAsia" w:ascii="宋体" w:hAnsi="宋体" w:eastAsia="宋体" w:cs="宋体"/>
                <w:color w:val="000000"/>
                <w:sz w:val="27"/>
                <w:szCs w:val="27"/>
              </w:rPr>
              <w:t>初中</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461" w:hRule="atLeast"/>
          <w:jc w:val="center"/>
        </w:trPr>
        <w:tc>
          <w:tcPr>
            <w:tcW w:w="846" w:type="dxa"/>
            <w:tcBorders>
              <w:top w:val="nil"/>
              <w:left w:val="nil"/>
              <w:bottom w:val="nil"/>
              <w:right w:val="nil"/>
            </w:tcBorders>
            <w:shd w:val="clear"/>
            <w:vAlign w:val="center"/>
          </w:tcPr>
          <w:p>
            <w:pPr>
              <w:keepNext w:val="0"/>
              <w:keepLines w:val="0"/>
              <w:widowControl/>
              <w:numPr>
                <w:ilvl w:val="0"/>
                <w:numId w:val="7"/>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301</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26" w:hRule="atLeast"/>
          <w:jc w:val="center"/>
        </w:trPr>
        <w:tc>
          <w:tcPr>
            <w:tcW w:w="846" w:type="dxa"/>
            <w:tcBorders>
              <w:top w:val="nil"/>
              <w:left w:val="nil"/>
              <w:bottom w:val="nil"/>
              <w:right w:val="nil"/>
            </w:tcBorders>
            <w:shd w:val="clear"/>
            <w:vAlign w:val="center"/>
          </w:tcPr>
          <w:p>
            <w:pPr>
              <w:keepNext w:val="0"/>
              <w:keepLines w:val="0"/>
              <w:widowControl/>
              <w:numPr>
                <w:ilvl w:val="0"/>
                <w:numId w:val="8"/>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综合素质（中学）（音体美专业）</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301A</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17" w:hRule="atLeast"/>
          <w:jc w:val="center"/>
        </w:trPr>
        <w:tc>
          <w:tcPr>
            <w:tcW w:w="846" w:type="dxa"/>
            <w:tcBorders>
              <w:top w:val="nil"/>
              <w:left w:val="nil"/>
              <w:bottom w:val="nil"/>
              <w:right w:val="nil"/>
            </w:tcBorders>
            <w:shd w:val="clear"/>
            <w:vAlign w:val="center"/>
          </w:tcPr>
          <w:p>
            <w:pPr>
              <w:keepNext w:val="0"/>
              <w:keepLines w:val="0"/>
              <w:widowControl/>
              <w:numPr>
                <w:ilvl w:val="0"/>
                <w:numId w:val="9"/>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教育知识与能力</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302</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846" w:type="dxa"/>
            <w:tcBorders>
              <w:top w:val="nil"/>
              <w:left w:val="nil"/>
              <w:bottom w:val="nil"/>
              <w:right w:val="nil"/>
            </w:tcBorders>
            <w:shd w:val="clear"/>
            <w:vAlign w:val="center"/>
          </w:tcPr>
          <w:p>
            <w:pPr>
              <w:keepNext w:val="0"/>
              <w:keepLines w:val="0"/>
              <w:widowControl/>
              <w:numPr>
                <w:ilvl w:val="0"/>
                <w:numId w:val="10"/>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教育知识与能力（音体美专业）</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302A</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1"/>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语文学科知识与教学能力（初级中学）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303</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2"/>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数学学科知识与教学能力（初级中学）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304</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3"/>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英语学科知识与教学能力（初级中学）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305</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4"/>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物理学科知识与教学能力（初级中学）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306</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5"/>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化学学科知识与教学能力（初级中学）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307</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6"/>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生物学科知识与教学能力（初级中学）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308</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846" w:type="dxa"/>
            <w:tcBorders>
              <w:top w:val="nil"/>
              <w:left w:val="nil"/>
              <w:bottom w:val="nil"/>
              <w:right w:val="nil"/>
            </w:tcBorders>
            <w:shd w:val="clear"/>
            <w:vAlign w:val="center"/>
          </w:tcPr>
          <w:p>
            <w:pPr>
              <w:keepNext w:val="0"/>
              <w:keepLines w:val="0"/>
              <w:widowControl/>
              <w:numPr>
                <w:ilvl w:val="0"/>
                <w:numId w:val="17"/>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道德与法治学科知识与教学能力（初级中学）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309</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8"/>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历史学科知识与教学能力（初级中学）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310</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19"/>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地理学科知识与教学能力（初级中学）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311</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20"/>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音乐学科知识与教学能力（初级中学）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312</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21"/>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体育与健康学科知识与教学能力（初级中学）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313</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22"/>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美术学科知识与教学能力（初级中学）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314</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23"/>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信息技术学科知识与教学能力（初级中学）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315</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74" w:hRule="atLeast"/>
          <w:jc w:val="center"/>
        </w:trPr>
        <w:tc>
          <w:tcPr>
            <w:tcW w:w="846" w:type="dxa"/>
            <w:tcBorders>
              <w:top w:val="nil"/>
              <w:left w:val="nil"/>
              <w:bottom w:val="nil"/>
              <w:right w:val="nil"/>
            </w:tcBorders>
            <w:shd w:val="clear"/>
            <w:vAlign w:val="center"/>
          </w:tcPr>
          <w:p>
            <w:pPr>
              <w:keepNext w:val="0"/>
              <w:keepLines w:val="0"/>
              <w:widowControl/>
              <w:numPr>
                <w:ilvl w:val="0"/>
                <w:numId w:val="24"/>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历史与社会学科知识与教学能力（初级中学）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316</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846" w:type="dxa"/>
            <w:tcBorders>
              <w:top w:val="nil"/>
              <w:left w:val="nil"/>
              <w:bottom w:val="nil"/>
              <w:right w:val="nil"/>
            </w:tcBorders>
            <w:shd w:val="clear"/>
            <w:vAlign w:val="center"/>
          </w:tcPr>
          <w:p>
            <w:pPr>
              <w:keepNext w:val="0"/>
              <w:keepLines w:val="0"/>
              <w:widowControl/>
              <w:numPr>
                <w:ilvl w:val="0"/>
                <w:numId w:val="25"/>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科学学科知识与教学能力（初级中学）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317</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578" w:hRule="atLeast"/>
          <w:jc w:val="center"/>
        </w:trPr>
        <w:tc>
          <w:tcPr>
            <w:tcW w:w="846"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right"/>
            </w:pPr>
            <w:r>
              <w:rPr>
                <w:rStyle w:val="5"/>
                <w:rFonts w:hint="eastAsia" w:ascii="宋体" w:hAnsi="宋体" w:eastAsia="宋体" w:cs="宋体"/>
                <w:color w:val="000000"/>
                <w:sz w:val="27"/>
                <w:szCs w:val="27"/>
              </w:rPr>
              <w:t>（四）</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Style w:val="5"/>
                <w:rFonts w:hint="eastAsia" w:ascii="宋体" w:hAnsi="宋体" w:eastAsia="宋体" w:cs="宋体"/>
                <w:color w:val="000000"/>
                <w:sz w:val="27"/>
                <w:szCs w:val="27"/>
              </w:rPr>
              <w:t>高中</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1"/>
                <w:szCs w:val="21"/>
              </w:rPr>
              <w:t> </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36" w:hRule="atLeast"/>
          <w:jc w:val="center"/>
        </w:trPr>
        <w:tc>
          <w:tcPr>
            <w:tcW w:w="846" w:type="dxa"/>
            <w:tcBorders>
              <w:top w:val="nil"/>
              <w:left w:val="nil"/>
              <w:bottom w:val="nil"/>
              <w:right w:val="nil"/>
            </w:tcBorders>
            <w:shd w:val="clear"/>
            <w:vAlign w:val="center"/>
          </w:tcPr>
          <w:p>
            <w:pPr>
              <w:keepNext w:val="0"/>
              <w:keepLines w:val="0"/>
              <w:widowControl/>
              <w:numPr>
                <w:ilvl w:val="0"/>
                <w:numId w:val="26"/>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301</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70" w:hRule="atLeast"/>
          <w:jc w:val="center"/>
        </w:trPr>
        <w:tc>
          <w:tcPr>
            <w:tcW w:w="846" w:type="dxa"/>
            <w:tcBorders>
              <w:top w:val="nil"/>
              <w:left w:val="nil"/>
              <w:bottom w:val="nil"/>
              <w:right w:val="nil"/>
            </w:tcBorders>
            <w:shd w:val="clear"/>
            <w:vAlign w:val="center"/>
          </w:tcPr>
          <w:p>
            <w:pPr>
              <w:keepNext w:val="0"/>
              <w:keepLines w:val="0"/>
              <w:widowControl/>
              <w:numPr>
                <w:ilvl w:val="0"/>
                <w:numId w:val="27"/>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综合素质（中学）（音体美专业）</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301A</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28"/>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教育知识与能力</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302</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846" w:type="dxa"/>
            <w:tcBorders>
              <w:top w:val="nil"/>
              <w:left w:val="nil"/>
              <w:bottom w:val="nil"/>
              <w:right w:val="nil"/>
            </w:tcBorders>
            <w:shd w:val="clear"/>
            <w:vAlign w:val="center"/>
          </w:tcPr>
          <w:p>
            <w:pPr>
              <w:keepNext w:val="0"/>
              <w:keepLines w:val="0"/>
              <w:widowControl/>
              <w:numPr>
                <w:ilvl w:val="0"/>
                <w:numId w:val="29"/>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教育知识与能力（音体美专业）</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302A</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0"/>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语文学科知识与教学能力（高级中学）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403</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1"/>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数学学科知识与教学能力（高级中学）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404</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2"/>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英语学科知识与教学能力（高级中学）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405</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3"/>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物理学科知识与教学能力（高级中学）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406</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4"/>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化学学科知识与教学能力（高级中学）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407</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5"/>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1"/>
                <w:szCs w:val="21"/>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生物学科知识与教学能力（高级中学）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408</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6"/>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思想政治学科知识与教学能力（高级中学）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409</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7"/>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历史学科知识与教学能力（高级中学）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410</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8"/>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地理学科知识与教学能力（高级中学）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411</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39"/>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音乐学科知识与教学能力（高级中学）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412</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40"/>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体育与健康学科知识与教学能力（高级中学）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413</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846" w:type="dxa"/>
            <w:tcBorders>
              <w:top w:val="nil"/>
              <w:left w:val="nil"/>
              <w:bottom w:val="nil"/>
              <w:right w:val="nil"/>
            </w:tcBorders>
            <w:shd w:val="clear"/>
            <w:vAlign w:val="center"/>
          </w:tcPr>
          <w:p>
            <w:pPr>
              <w:keepNext w:val="0"/>
              <w:keepLines w:val="0"/>
              <w:widowControl/>
              <w:numPr>
                <w:ilvl w:val="0"/>
                <w:numId w:val="41"/>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美术学科知识与教学能力（高级中学）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414</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46" w:type="dxa"/>
            <w:tcBorders>
              <w:top w:val="nil"/>
              <w:left w:val="nil"/>
              <w:bottom w:val="nil"/>
              <w:right w:val="nil"/>
            </w:tcBorders>
            <w:shd w:val="clear"/>
            <w:vAlign w:val="center"/>
          </w:tcPr>
          <w:p>
            <w:pPr>
              <w:keepNext w:val="0"/>
              <w:keepLines w:val="0"/>
              <w:widowControl/>
              <w:numPr>
                <w:ilvl w:val="0"/>
                <w:numId w:val="42"/>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信息技术学科知识与教学能力（高级中学）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415</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46" w:type="dxa"/>
            <w:tcBorders>
              <w:top w:val="nil"/>
              <w:left w:val="nil"/>
              <w:bottom w:val="nil"/>
              <w:right w:val="nil"/>
            </w:tcBorders>
            <w:shd w:val="clear"/>
            <w:vAlign w:val="center"/>
          </w:tcPr>
          <w:p>
            <w:pPr>
              <w:keepNext w:val="0"/>
              <w:keepLines w:val="0"/>
              <w:widowControl/>
              <w:numPr>
                <w:ilvl w:val="0"/>
                <w:numId w:val="43"/>
              </w:numPr>
              <w:suppressLineNumbers w:val="0"/>
              <w:spacing w:before="0" w:beforeAutospacing="1" w:after="0" w:afterAutospacing="1" w:line="324" w:lineRule="atLeast"/>
              <w:ind w:left="720" w:hanging="360"/>
              <w:jc w:val="right"/>
            </w:pPr>
            <w:r>
              <w:rPr>
                <w:rFonts w:hint="eastAsia" w:ascii="宋体" w:hAnsi="宋体" w:eastAsia="宋体" w:cs="宋体"/>
                <w:color w:val="000000"/>
                <w:sz w:val="27"/>
                <w:szCs w:val="27"/>
              </w:rPr>
              <w:t> </w:t>
            </w:r>
          </w:p>
        </w:tc>
        <w:tc>
          <w:tcPr>
            <w:tcW w:w="477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通用技术学科知识与教学能力（高级中学）</w:t>
            </w:r>
          </w:p>
        </w:tc>
        <w:tc>
          <w:tcPr>
            <w:tcW w:w="840"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eastAsia" w:ascii="宋体" w:hAnsi="宋体" w:eastAsia="宋体" w:cs="宋体"/>
                <w:color w:val="000000"/>
                <w:sz w:val="27"/>
                <w:szCs w:val="27"/>
              </w:rPr>
              <w:t>418</w:t>
            </w:r>
          </w:p>
        </w:tc>
        <w:tc>
          <w:tcPr>
            <w:tcW w:w="1952"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pPr>
            <w:r>
              <w:rPr>
                <w:rFonts w:hint="eastAsia" w:ascii="宋体" w:hAnsi="宋体" w:eastAsia="宋体" w:cs="宋体"/>
                <w:color w:val="000000"/>
                <w:sz w:val="27"/>
                <w:szCs w:val="27"/>
              </w:rPr>
              <w:t> </w:t>
            </w:r>
          </w:p>
        </w:tc>
      </w:tr>
    </w:tbl>
    <w:p>
      <w:pPr>
        <w:pStyle w:val="2"/>
        <w:keepNext w:val="0"/>
        <w:keepLines w:val="0"/>
        <w:widowControl/>
        <w:suppressLineNumbers w:val="0"/>
        <w:ind w:left="0" w:right="0"/>
      </w:pPr>
      <w:r>
        <w:rPr>
          <w:rFonts w:hint="eastAsia" w:ascii="黑体" w:hAnsi="宋体" w:eastAsia="黑体" w:cs="黑体"/>
          <w:i w:val="0"/>
          <w:iCs w:val="0"/>
          <w:caps w:val="0"/>
          <w:color w:val="000000"/>
          <w:spacing w:val="0"/>
          <w:sz w:val="32"/>
          <w:szCs w:val="32"/>
          <w:shd w:val="clear" w:fill="FFFFFF"/>
        </w:rPr>
        <w:t>附件4</w:t>
      </w:r>
    </w:p>
    <w:p>
      <w:pPr>
        <w:pStyle w:val="2"/>
        <w:keepNext w:val="0"/>
        <w:keepLines w:val="0"/>
        <w:widowControl/>
        <w:suppressLineNumbers w:val="0"/>
        <w:ind w:left="0" w:right="0"/>
        <w:jc w:val="center"/>
      </w:pPr>
      <w:r>
        <w:rPr>
          <w:rFonts w:hint="default" w:ascii="方正小标宋_GBK" w:hAnsi="方正小标宋_GBK" w:eastAsia="方正小标宋_GBK" w:cs="方正小标宋_GBK"/>
          <w:i w:val="0"/>
          <w:iCs w:val="0"/>
          <w:caps w:val="0"/>
          <w:color w:val="000000"/>
          <w:spacing w:val="0"/>
          <w:sz w:val="44"/>
          <w:szCs w:val="44"/>
          <w:shd w:val="clear" w:fill="FFFFFF"/>
        </w:rPr>
        <w:t>宁夏各考区名称、地址及咨询电话</w:t>
      </w:r>
    </w:p>
    <w:tbl>
      <w:tblPr>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30"/>
        <w:gridCol w:w="4450"/>
        <w:gridCol w:w="205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63" w:hRule="atLeast"/>
          <w:jc w:val="center"/>
        </w:trPr>
        <w:tc>
          <w:tcPr>
            <w:tcW w:w="198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line="324" w:lineRule="atLeast"/>
              <w:ind w:left="0" w:right="0"/>
              <w:jc w:val="center"/>
            </w:pPr>
            <w:r>
              <w:rPr>
                <w:rStyle w:val="5"/>
                <w:rFonts w:hint="default" w:ascii="仿宋_GB2312" w:eastAsia="仿宋_GB2312" w:cs="仿宋_GB2312"/>
                <w:color w:val="000000"/>
                <w:sz w:val="28"/>
                <w:szCs w:val="28"/>
              </w:rPr>
              <w:t>考区名称</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Style w:val="5"/>
                <w:rFonts w:hint="default" w:ascii="仿宋_GB2312" w:eastAsia="仿宋_GB2312" w:cs="仿宋_GB2312"/>
                <w:color w:val="000000"/>
                <w:sz w:val="28"/>
                <w:szCs w:val="28"/>
              </w:rPr>
              <w:t>考区地址</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Style w:val="5"/>
                <w:rFonts w:hint="default" w:ascii="仿宋_GB2312" w:eastAsia="仿宋_GB2312" w:cs="仿宋_GB2312"/>
                <w:color w:val="000000"/>
                <w:sz w:val="28"/>
                <w:szCs w:val="28"/>
              </w:rPr>
              <w:t>咨询电话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银川市</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银川市金凤区北京中路166号行政</w:t>
            </w:r>
          </w:p>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中心一号楼742室</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0951-6888695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石嘴山市</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石嘴山市大武口区朝阳西街287号</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0952-2013461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吴忠市</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吴忠市利通区迎宾大道449号</w:t>
            </w:r>
          </w:p>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（市政府大楼对面）</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0953-2013676</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固原市</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原州区新区学院路民生大厦12楼</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0954-2032105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中卫市</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中卫市沙坡头区丽景街4号</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0955-7028691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宁夏大学</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银川市西夏区贺兰山西路489号</w:t>
            </w:r>
          </w:p>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宁夏大学贺兰山校区</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0951-2061009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63" w:hRule="atLeast"/>
          <w:jc w:val="center"/>
        </w:trPr>
        <w:tc>
          <w:tcPr>
            <w:tcW w:w="198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北方民族大学</w:t>
            </w:r>
          </w:p>
        </w:tc>
        <w:tc>
          <w:tcPr>
            <w:tcW w:w="4845"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银川市西夏区文昌北街204号</w:t>
            </w:r>
          </w:p>
        </w:tc>
        <w:tc>
          <w:tcPr>
            <w:tcW w:w="2091" w:type="dxa"/>
            <w:tcBorders>
              <w:top w:val="nil"/>
              <w:left w:val="nil"/>
              <w:bottom w:val="nil"/>
              <w:right w:val="nil"/>
            </w:tcBorders>
            <w:shd w:val="clear"/>
            <w:vAlign w:val="center"/>
          </w:tcPr>
          <w:p>
            <w:pPr>
              <w:pStyle w:val="2"/>
              <w:keepNext w:val="0"/>
              <w:keepLines w:val="0"/>
              <w:widowControl/>
              <w:suppressLineNumbers w:val="0"/>
              <w:spacing w:line="324" w:lineRule="atLeast"/>
              <w:ind w:left="0" w:right="0"/>
              <w:jc w:val="center"/>
            </w:pPr>
            <w:r>
              <w:rPr>
                <w:rFonts w:hint="default" w:ascii="仿宋_GB2312" w:eastAsia="仿宋_GB2312" w:cs="仿宋_GB2312"/>
                <w:color w:val="000000"/>
                <w:sz w:val="28"/>
                <w:szCs w:val="28"/>
              </w:rPr>
              <w:t>0951-2066636</w:t>
            </w:r>
          </w:p>
        </w:tc>
      </w:tr>
    </w:tbl>
    <w:p>
      <w:pPr>
        <w:pStyle w:val="2"/>
        <w:keepNext w:val="0"/>
        <w:keepLines w:val="0"/>
        <w:widowControl/>
        <w:suppressLineNumbers w:val="0"/>
        <w:ind w:left="0" w:right="0"/>
        <w:jc w:val="center"/>
      </w:pPr>
      <w:r>
        <w:rPr>
          <w:rFonts w:hint="eastAsia" w:ascii="宋体" w:hAnsi="宋体" w:eastAsia="宋体" w:cs="宋体"/>
          <w:i w:val="0"/>
          <w:iCs w:val="0"/>
          <w:caps w:val="0"/>
          <w:color w:val="000000"/>
          <w:spacing w:val="0"/>
          <w:sz w:val="27"/>
          <w:szCs w:val="27"/>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A7DBA"/>
    <w:multiLevelType w:val="multilevel"/>
    <w:tmpl w:val="82DA7DB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C794DD4"/>
    <w:multiLevelType w:val="multilevel"/>
    <w:tmpl w:val="8C794DD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92210203"/>
    <w:multiLevelType w:val="multilevel"/>
    <w:tmpl w:val="9221020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92A9BDC4"/>
    <w:multiLevelType w:val="multilevel"/>
    <w:tmpl w:val="92A9BD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ACCBAA71"/>
    <w:multiLevelType w:val="multilevel"/>
    <w:tmpl w:val="ACCBAA7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B04D847A"/>
    <w:multiLevelType w:val="multilevel"/>
    <w:tmpl w:val="B04D847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B6908C9F"/>
    <w:multiLevelType w:val="multilevel"/>
    <w:tmpl w:val="B6908C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BC399376"/>
    <w:multiLevelType w:val="multilevel"/>
    <w:tmpl w:val="BC39937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C12ECE77"/>
    <w:multiLevelType w:val="multilevel"/>
    <w:tmpl w:val="C12ECE7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C47766FB"/>
    <w:multiLevelType w:val="multilevel"/>
    <w:tmpl w:val="C47766F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D027CD7D"/>
    <w:multiLevelType w:val="multilevel"/>
    <w:tmpl w:val="D027CD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D4CB53A0"/>
    <w:multiLevelType w:val="multilevel"/>
    <w:tmpl w:val="D4CB53A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DD965D99"/>
    <w:multiLevelType w:val="multilevel"/>
    <w:tmpl w:val="DD965D9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DEE994DE"/>
    <w:multiLevelType w:val="multilevel"/>
    <w:tmpl w:val="DEE994D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E1668F13"/>
    <w:multiLevelType w:val="multilevel"/>
    <w:tmpl w:val="E1668F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E2A81161"/>
    <w:multiLevelType w:val="multilevel"/>
    <w:tmpl w:val="E2A8116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E94FDE36"/>
    <w:multiLevelType w:val="multilevel"/>
    <w:tmpl w:val="E94FDE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EC1D92C6"/>
    <w:multiLevelType w:val="multilevel"/>
    <w:tmpl w:val="EC1D92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F17CA509"/>
    <w:multiLevelType w:val="multilevel"/>
    <w:tmpl w:val="F17CA5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FAA35928"/>
    <w:multiLevelType w:val="multilevel"/>
    <w:tmpl w:val="FAA359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FEBF0C7F"/>
    <w:multiLevelType w:val="multilevel"/>
    <w:tmpl w:val="FEBF0C7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0324850F"/>
    <w:multiLevelType w:val="multilevel"/>
    <w:tmpl w:val="032485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04019845"/>
    <w:multiLevelType w:val="multilevel"/>
    <w:tmpl w:val="040198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0B9E8AA3"/>
    <w:multiLevelType w:val="multilevel"/>
    <w:tmpl w:val="0B9E8AA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156A6CC7"/>
    <w:multiLevelType w:val="multilevel"/>
    <w:tmpl w:val="156A6C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5">
    <w:nsid w:val="1EB6D21E"/>
    <w:multiLevelType w:val="multilevel"/>
    <w:tmpl w:val="1EB6D21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
    <w:nsid w:val="20004E80"/>
    <w:multiLevelType w:val="multilevel"/>
    <w:tmpl w:val="20004E8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7">
    <w:nsid w:val="24147B6D"/>
    <w:multiLevelType w:val="multilevel"/>
    <w:tmpl w:val="24147B6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8">
    <w:nsid w:val="30B539BE"/>
    <w:multiLevelType w:val="multilevel"/>
    <w:tmpl w:val="30B539B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9">
    <w:nsid w:val="32777AB5"/>
    <w:multiLevelType w:val="multilevel"/>
    <w:tmpl w:val="32777AB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387B5DAC"/>
    <w:multiLevelType w:val="multilevel"/>
    <w:tmpl w:val="387B5D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1">
    <w:nsid w:val="508F5B43"/>
    <w:multiLevelType w:val="multilevel"/>
    <w:tmpl w:val="508F5B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2">
    <w:nsid w:val="533DB70F"/>
    <w:multiLevelType w:val="multilevel"/>
    <w:tmpl w:val="533DB7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536C6309"/>
    <w:multiLevelType w:val="multilevel"/>
    <w:tmpl w:val="536C63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5F790289"/>
    <w:multiLevelType w:val="multilevel"/>
    <w:tmpl w:val="5F79028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5">
    <w:nsid w:val="6001F35E"/>
    <w:multiLevelType w:val="multilevel"/>
    <w:tmpl w:val="6001F3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6">
    <w:nsid w:val="67940B85"/>
    <w:multiLevelType w:val="multilevel"/>
    <w:tmpl w:val="67940B8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7">
    <w:nsid w:val="67BC01B7"/>
    <w:multiLevelType w:val="multilevel"/>
    <w:tmpl w:val="67BC01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8">
    <w:nsid w:val="67F939C7"/>
    <w:multiLevelType w:val="multilevel"/>
    <w:tmpl w:val="67F939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9">
    <w:nsid w:val="699E4250"/>
    <w:multiLevelType w:val="multilevel"/>
    <w:tmpl w:val="699E425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0">
    <w:nsid w:val="71060289"/>
    <w:multiLevelType w:val="multilevel"/>
    <w:tmpl w:val="7106028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1">
    <w:nsid w:val="74A2D7D7"/>
    <w:multiLevelType w:val="multilevel"/>
    <w:tmpl w:val="74A2D7D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2">
    <w:nsid w:val="7FAFA7A6"/>
    <w:multiLevelType w:val="multilevel"/>
    <w:tmpl w:val="7FAFA7A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8"/>
  </w:num>
  <w:num w:numId="2">
    <w:abstractNumId w:val="16"/>
  </w:num>
  <w:num w:numId="3">
    <w:abstractNumId w:val="23"/>
  </w:num>
  <w:num w:numId="4">
    <w:abstractNumId w:val="18"/>
  </w:num>
  <w:num w:numId="5">
    <w:abstractNumId w:val="17"/>
  </w:num>
  <w:num w:numId="6">
    <w:abstractNumId w:val="15"/>
  </w:num>
  <w:num w:numId="7">
    <w:abstractNumId w:val="36"/>
  </w:num>
  <w:num w:numId="8">
    <w:abstractNumId w:val="5"/>
  </w:num>
  <w:num w:numId="9">
    <w:abstractNumId w:val="40"/>
  </w:num>
  <w:num w:numId="10">
    <w:abstractNumId w:val="8"/>
  </w:num>
  <w:num w:numId="11">
    <w:abstractNumId w:val="41"/>
  </w:num>
  <w:num w:numId="12">
    <w:abstractNumId w:val="31"/>
  </w:num>
  <w:num w:numId="13">
    <w:abstractNumId w:val="13"/>
  </w:num>
  <w:num w:numId="14">
    <w:abstractNumId w:val="25"/>
  </w:num>
  <w:num w:numId="15">
    <w:abstractNumId w:val="10"/>
  </w:num>
  <w:num w:numId="16">
    <w:abstractNumId w:val="37"/>
  </w:num>
  <w:num w:numId="17">
    <w:abstractNumId w:val="26"/>
  </w:num>
  <w:num w:numId="18">
    <w:abstractNumId w:val="9"/>
  </w:num>
  <w:num w:numId="19">
    <w:abstractNumId w:val="29"/>
  </w:num>
  <w:num w:numId="20">
    <w:abstractNumId w:val="32"/>
  </w:num>
  <w:num w:numId="21">
    <w:abstractNumId w:val="7"/>
  </w:num>
  <w:num w:numId="22">
    <w:abstractNumId w:val="30"/>
  </w:num>
  <w:num w:numId="23">
    <w:abstractNumId w:val="11"/>
  </w:num>
  <w:num w:numId="24">
    <w:abstractNumId w:val="38"/>
  </w:num>
  <w:num w:numId="25">
    <w:abstractNumId w:val="22"/>
  </w:num>
  <w:num w:numId="26">
    <w:abstractNumId w:val="35"/>
  </w:num>
  <w:num w:numId="27">
    <w:abstractNumId w:val="1"/>
  </w:num>
  <w:num w:numId="28">
    <w:abstractNumId w:val="6"/>
  </w:num>
  <w:num w:numId="29">
    <w:abstractNumId w:val="20"/>
  </w:num>
  <w:num w:numId="30">
    <w:abstractNumId w:val="42"/>
  </w:num>
  <w:num w:numId="31">
    <w:abstractNumId w:val="24"/>
  </w:num>
  <w:num w:numId="32">
    <w:abstractNumId w:val="33"/>
  </w:num>
  <w:num w:numId="33">
    <w:abstractNumId w:val="34"/>
  </w:num>
  <w:num w:numId="34">
    <w:abstractNumId w:val="12"/>
  </w:num>
  <w:num w:numId="35">
    <w:abstractNumId w:val="4"/>
  </w:num>
  <w:num w:numId="36">
    <w:abstractNumId w:val="19"/>
  </w:num>
  <w:num w:numId="37">
    <w:abstractNumId w:val="39"/>
  </w:num>
  <w:num w:numId="38">
    <w:abstractNumId w:val="0"/>
  </w:num>
  <w:num w:numId="39">
    <w:abstractNumId w:val="14"/>
  </w:num>
  <w:num w:numId="40">
    <w:abstractNumId w:val="3"/>
  </w:num>
  <w:num w:numId="41">
    <w:abstractNumId w:val="27"/>
  </w:num>
  <w:num w:numId="42">
    <w:abstractNumId w:val="2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C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2021-08-13T08:04:23Z</dcterms:created>
  <dc:creator>Administrator</dc:creator>
  <cp:lastModifiedBy>尹伟</cp:lastModifiedBy>
  <dcterms:modified xsi:type="dcterms:W3CDTF">2021-08-13T08:05:05Z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9A003DE20C134E62BFA8A55532DF7E20</vt:lpwstr>
  </property>
</Properties>
</file>