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Helvetica" w:hAnsi="Helvetica" w:eastAsia="Helvetica" w:cs="Helvetica"/>
          <w:i w:val="0"/>
          <w:iCs w:val="0"/>
          <w:caps w:val="0"/>
          <w:color w:val="333333"/>
          <w:spacing w:val="0"/>
          <w:sz w:val="27"/>
          <w:szCs w:val="27"/>
        </w:rPr>
      </w:pPr>
      <w:r>
        <w:rPr>
          <w:rStyle w:val="5"/>
          <w:rFonts w:hint="default" w:ascii="Helvetica" w:hAnsi="Helvetica" w:eastAsia="Helvetica" w:cs="Helvetica"/>
          <w:b/>
          <w:bCs/>
          <w:i w:val="0"/>
          <w:iCs w:val="0"/>
          <w:caps w:val="0"/>
          <w:color w:val="333333"/>
          <w:spacing w:val="0"/>
          <w:sz w:val="27"/>
          <w:szCs w:val="27"/>
          <w:bdr w:val="none" w:color="auto" w:sz="0" w:space="0"/>
          <w:shd w:val="clear" w:fill="FFFFFF"/>
        </w:rPr>
        <w:t>沙洋县2021年农村义务教育学校及学前教育（幼儿园）教师自主公开招聘资格审查及面试疫情防控考生须知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为深入贯彻落实新冠肺炎疫情防控有关要求，确保每一位考生健康安全，现就笔试期间疫情防控注意事项公告如下：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一、考生进行资格审查时，应当主动配合接受体温检测，出示健康码绿码和通信大数据行程卡绿码且到访地无星号标记，现场测量体温正常（＜37.3℃）,方可进入现场。健康码可通过支付宝、微信等获取，通行测量若出现发热等异常症状的人员，应至临时留观区复测体温。复测仍37.3℃的，经现场专业人员评估后，具备参加资格审查条件的，在隔离点进行资格审查；审查结束后，按相关疾控部门要求处理。因执行防疫规定需要进行隔离观察或隔离治疗，无法参加资格审查或考试的考生，视同放弃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二、资格审查及考前14天有国内疫情中高风险地区或国（境）外旅居史的考生，可提供资格审查及考前7天内检测机构检测后新冠病毒核酸检测阴性证明。无法提供健康证明的，以现场卫生防疫专业人员评估处置结果为准。近期有中高风险地区旅行史的考生，在考试前向所在考点疫情防疫专家室报备。疫情风险等级查询可使用“国务院客户端”微信小程序点击”疫情风险查询”，或在微信小程序中搜索“疫情风险等级查询”，或登陆</w:t>
      </w:r>
      <w:r>
        <w:rPr>
          <w:rFonts w:hint="default" w:ascii="Helvetica" w:hAnsi="Helvetica" w:eastAsia="Helvetica" w:cs="Helvetica"/>
          <w:i w:val="0"/>
          <w:iCs w:val="0"/>
          <w:caps w:val="0"/>
          <w:color w:val="333333"/>
          <w:spacing w:val="0"/>
          <w:sz w:val="27"/>
          <w:szCs w:val="27"/>
          <w:u w:val="none"/>
          <w:bdr w:val="none" w:color="auto" w:sz="0" w:space="0"/>
          <w:shd w:val="clear" w:fill="FFFFFF"/>
        </w:rPr>
        <w:fldChar w:fldCharType="begin"/>
      </w:r>
      <w:r>
        <w:rPr>
          <w:rFonts w:hint="default" w:ascii="Helvetica" w:hAnsi="Helvetica" w:eastAsia="Helvetica" w:cs="Helvetica"/>
          <w:i w:val="0"/>
          <w:iCs w:val="0"/>
          <w:caps w:val="0"/>
          <w:color w:val="333333"/>
          <w:spacing w:val="0"/>
          <w:sz w:val="27"/>
          <w:szCs w:val="27"/>
          <w:u w:val="none"/>
          <w:bdr w:val="none" w:color="auto" w:sz="0" w:space="0"/>
          <w:shd w:val="clear" w:fill="FFFFFF"/>
        </w:rPr>
        <w:instrText xml:space="preserve"> HYPERLINK "http://bmfw.www.gov.cn/yqfxdjcx/index.html" \t "http://shayang.jingmen.gov.cn/art/2021/6/16/_blank" </w:instrText>
      </w:r>
      <w:r>
        <w:rPr>
          <w:rFonts w:hint="default" w:ascii="Helvetica" w:hAnsi="Helvetica" w:eastAsia="Helvetica" w:cs="Helvetica"/>
          <w:i w:val="0"/>
          <w:iCs w:val="0"/>
          <w:caps w:val="0"/>
          <w:color w:val="333333"/>
          <w:spacing w:val="0"/>
          <w:sz w:val="27"/>
          <w:szCs w:val="27"/>
          <w:u w:val="none"/>
          <w:bdr w:val="none" w:color="auto" w:sz="0" w:space="0"/>
          <w:shd w:val="clear" w:fill="FFFFFF"/>
        </w:rPr>
        <w:fldChar w:fldCharType="separate"/>
      </w:r>
      <w:r>
        <w:rPr>
          <w:rStyle w:val="6"/>
          <w:rFonts w:hint="default" w:ascii="Helvetica" w:hAnsi="Helvetica" w:eastAsia="Helvetica" w:cs="Helvetica"/>
          <w:i w:val="0"/>
          <w:iCs w:val="0"/>
          <w:caps w:val="0"/>
          <w:color w:val="333333"/>
          <w:spacing w:val="0"/>
          <w:sz w:val="27"/>
          <w:szCs w:val="27"/>
          <w:u w:val="none"/>
          <w:bdr w:val="none" w:color="auto" w:sz="0" w:space="0"/>
          <w:shd w:val="clear" w:fill="FFFFFF"/>
        </w:rPr>
        <w:t>http://bmfw.www.gov.cn/yqfxdjcx/index.html</w:t>
      </w:r>
      <w:r>
        <w:rPr>
          <w:rFonts w:hint="default" w:ascii="Helvetica" w:hAnsi="Helvetica" w:eastAsia="Helvetica" w:cs="Helvetica"/>
          <w:i w:val="0"/>
          <w:iCs w:val="0"/>
          <w:caps w:val="0"/>
          <w:color w:val="333333"/>
          <w:spacing w:val="0"/>
          <w:sz w:val="27"/>
          <w:szCs w:val="27"/>
          <w:u w:val="none"/>
          <w:bdr w:val="none" w:color="auto" w:sz="0" w:space="0"/>
          <w:shd w:val="clear" w:fill="FFFFFF"/>
        </w:rPr>
        <w:fldChar w:fldCharType="end"/>
      </w:r>
      <w:r>
        <w:rPr>
          <w:rFonts w:hint="default" w:ascii="Helvetica" w:hAnsi="Helvetica" w:eastAsia="Helvetica" w:cs="Helvetica"/>
          <w:i w:val="0"/>
          <w:iCs w:val="0"/>
          <w:caps w:val="0"/>
          <w:color w:val="333333"/>
          <w:spacing w:val="0"/>
          <w:sz w:val="27"/>
          <w:szCs w:val="27"/>
          <w:bdr w:val="none" w:color="auto" w:sz="0" w:space="0"/>
          <w:shd w:val="clear" w:fill="FFFFFF"/>
        </w:rPr>
        <w:t>,选择查询地区即可了解该地的疫情风险等级。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三、资格审查及考试期间，请考生备齐个人防护用品。考生应自备口罩，并按照疫情防控要求全程佩戴口罩。特别是在资格审查及考点入场及考后离场等人群聚集环节，但在接受身份验证等特殊情况下须临时摘除口罩。并注意饮食卫生，做好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四、资格审查及考前3天有发热、干咳等异常症状的考生，应在入场检测体温前主动向工作人员报告，经现场医疗卫生专业人员评估后，具备参加资格审查及考试条件的，在临时隔离点进行资格审查或隔离考场继续考试；不具备相关条件的，按相关疾控部门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五、考生考试当天要采取合适的出行方式，应至少提前1个小时到达考点。考生入场前应主动配合接受体温检测，出示健康码绿码和通行大数据行程卡绿码且到访地无星号标记，现场测量体温正常（＜37.3℃）,方可进入考试区域。健康码可通过支付宝、微信等获取，通行测量若出现发热等异常症状的人员，应至临时留观区复测体温。复测仍37.3℃的，经考点现场医疗卫生专业人员评估后，具备参加考试条件的，在隔离考场参加考试；考试结束后，按疾控部门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六、考生在进入考场后及考试期间出现发热、干咳等异常症状的，应主动告知监考人员，经考点现场医疗卫生专业人员评估后，具备参加考试条件的，在临时隔离考场继续考试；不具备相关条件的，按疾控部门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七、考试期间，考生要自觉维护考试秩序。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bdr w:val="none" w:color="auto" w:sz="0" w:space="0"/>
          <w:shd w:val="clear" w:fill="FFFFFF"/>
        </w:rPr>
        <w:t>考生考试前请认真阅读本须知，承诺已知悉该须知，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62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2021-06-16T08:43:52Z</dcterms:created>
  <dc:creator>123</dc:creator>
  <cp:lastModifiedBy>@_@</cp:lastModifiedBy>
  <dcterms:modified xsi:type="dcterms:W3CDTF">2021-06-16T08:44:17Z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DE95C63B53504E7F9FB644A1BCADD18A</vt:lpwstr>
  </property>
</Properties>
</file>