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-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8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8"/>
          <w:sz w:val="36"/>
          <w:szCs w:val="36"/>
          <w:bdr w:val="none" w:color="auto" w:sz="0" w:space="0"/>
          <w:shd w:val="clear" w:fill="FFFFFF"/>
        </w:rPr>
        <w:t>年十堰市一中、郧阳中学和东风高中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在县（市）招生计划表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84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503"/>
        <w:gridCol w:w="1629"/>
        <w:gridCol w:w="2056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县（市）</w:t>
            </w:r>
          </w:p>
        </w:tc>
        <w:tc>
          <w:tcPr>
            <w:tcW w:w="65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指令计划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其中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郧阳中学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市一中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东风高中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丹江口市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32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29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郧西县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43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44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竹溪县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34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竹山县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42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42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房县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37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33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合计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188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189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169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6"/>
                <w:szCs w:val="36"/>
                <w:u w:val="none"/>
                <w:bdr w:val="none" w:color="auto" w:sz="0" w:space="0"/>
              </w:rPr>
              <w:t>546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2021-05-26T08:39:08Z</dcterms:created>
  <dc:creator>123</dc:creator>
  <cp:lastModifiedBy>@_@</cp:lastModifiedBy>
  <dcterms:modified xsi:type="dcterms:W3CDTF">2021-05-26T08:39:15Z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B2DBECD7A2054ECEA25FE7E8F183D7DF</vt:lpwstr>
  </property>
</Properties>
</file>