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E1EBC">
      <w:pPr>
        <w:pStyle w:val="2"/>
        <w:jc w:val="left"/>
        <w:rPr>
          <w:rFonts w:hint="eastAsia" w:eastAsia="方正小标宋_GBK"/>
          <w:sz w:val="32"/>
          <w:szCs w:val="32"/>
          <w:lang w:val="en-US" w:eastAsia="zh-CN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bookmarkStart w:id="1" w:name="_GoBack"/>
      <w:bookmarkEnd w:id="1"/>
    </w:p>
    <w:p w14:paraId="02C6022C"/>
    <w:p w14:paraId="61DEC3A2">
      <w:pPr>
        <w:pStyle w:val="2"/>
      </w:pPr>
      <w:r>
        <w:rPr>
          <w:rFonts w:hint="eastAsia"/>
        </w:rPr>
        <w:t>《“惠·鹏飞”英才计划基础教育高质量人才</w:t>
      </w:r>
    </w:p>
    <w:p w14:paraId="4A74A7D1">
      <w:pPr>
        <w:pStyle w:val="2"/>
      </w:pPr>
      <w:r>
        <w:rPr>
          <w:rFonts w:hint="eastAsia"/>
        </w:rPr>
        <w:t>引育实施办法（试行）》选摘</w:t>
      </w:r>
    </w:p>
    <w:p w14:paraId="056A3E86"/>
    <w:p w14:paraId="26C4C678">
      <w:pPr>
        <w:spacing w:line="580" w:lineRule="exact"/>
        <w:jc w:val="center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第二章  引育对象</w:t>
      </w:r>
    </w:p>
    <w:p w14:paraId="65FEB80B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黑体" w:hAnsi="黑体" w:eastAsia="黑体" w:cs="AdobeSongStd-Light"/>
          <w:kern w:val="0"/>
          <w:szCs w:val="32"/>
        </w:rPr>
        <w:t>第四条</w:t>
      </w:r>
      <w:r>
        <w:rPr>
          <w:rFonts w:hint="eastAsia" w:ascii="仿宋" w:hAnsi="仿宋" w:eastAsia="仿宋_GB2312" w:cs="AdobeSongStd-Light"/>
          <w:kern w:val="0"/>
          <w:szCs w:val="32"/>
        </w:rPr>
        <w:t xml:space="preserve">  我区教育系统引进、培育五类教育人才。第一类为名家人才，第二类为专家人才，第三类为杰出人才，第四类为优秀人才，第五类为青年人才。</w:t>
      </w:r>
    </w:p>
    <w:p w14:paraId="5DE69018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黑体" w:hAnsi="黑体" w:eastAsia="黑体" w:cs="AdobeSongStd-Light"/>
          <w:kern w:val="0"/>
          <w:szCs w:val="32"/>
        </w:rPr>
        <w:t>第五条</w:t>
      </w:r>
      <w:r>
        <w:rPr>
          <w:rFonts w:hint="eastAsia" w:ascii="仿宋" w:hAnsi="仿宋" w:eastAsia="仿宋_GB2312" w:cs="AdobeSongStd-Light"/>
          <w:kern w:val="0"/>
          <w:szCs w:val="32"/>
        </w:rPr>
        <w:t xml:space="preserve">  名家人才主要是指：师德高尚、教育教学或教育管理能力国内领先、工作业绩特别显著，并具有广泛影响力的教育名家，主要包括以下对象：</w:t>
      </w:r>
    </w:p>
    <w:p w14:paraId="24D846AA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（一）国家教学成果特等奖核心成员；</w:t>
      </w:r>
    </w:p>
    <w:p w14:paraId="4D34082B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（二）教育部最高层次人才培养工程培养对象；</w:t>
      </w:r>
    </w:p>
    <w:p w14:paraId="7BCB3C89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（三）全国著名校长（仅限引进）；</w:t>
      </w:r>
    </w:p>
    <w:p w14:paraId="202344AF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（四）与上述同一层次的其他人才。</w:t>
      </w:r>
    </w:p>
    <w:p w14:paraId="0F95FF1C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引进名家人才年龄一般不超过 50 周岁。</w:t>
      </w:r>
    </w:p>
    <w:p w14:paraId="3105C2B5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黑体" w:hAnsi="黑体" w:eastAsia="黑体" w:cs="AdobeSongStd-Light"/>
          <w:kern w:val="0"/>
          <w:szCs w:val="32"/>
        </w:rPr>
        <w:t>第六条</w:t>
      </w:r>
      <w:r>
        <w:rPr>
          <w:rFonts w:hint="eastAsia" w:ascii="仿宋" w:hAnsi="仿宋" w:eastAsia="仿宋_GB2312" w:cs="AdobeSongStd-Light"/>
          <w:kern w:val="0"/>
          <w:szCs w:val="32"/>
        </w:rPr>
        <w:t xml:space="preserve">  专家人才主要是指：师德高尚、教育教学或教育管理能力省内领先、工作业绩显著，并具有较大影响力的教育专家，主要包括以下对象：</w:t>
      </w:r>
    </w:p>
    <w:p w14:paraId="763689D4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（一）国家级教学成果一等奖核心成员；</w:t>
      </w:r>
    </w:p>
    <w:p w14:paraId="6B7249E2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（二）享受国务院特殊津贴的专家；</w:t>
      </w:r>
    </w:p>
    <w:p w14:paraId="38547107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（三）省级教育系统最高层次培养对象；</w:t>
      </w:r>
    </w:p>
    <w:p w14:paraId="47E08FE3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（四）省“333 高层次人才培养工程”第一层次培养对象；</w:t>
      </w:r>
    </w:p>
    <w:p w14:paraId="26369935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（五）大学教授（硕士研究生导师及以上）；</w:t>
      </w:r>
    </w:p>
    <w:p w14:paraId="27DB3A07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（六）与上述对象同一层次的其他人才。</w:t>
      </w:r>
    </w:p>
    <w:p w14:paraId="4D72C0A8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引进专家人才年龄一般不超过 50 周岁。</w:t>
      </w:r>
    </w:p>
    <w:p w14:paraId="031DEF1D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黑体" w:hAnsi="黑体" w:eastAsia="黑体" w:cs="AdobeSongStd-Light"/>
          <w:kern w:val="0"/>
          <w:szCs w:val="32"/>
        </w:rPr>
        <w:t>第七条</w:t>
      </w:r>
      <w:r>
        <w:rPr>
          <w:rFonts w:hint="eastAsia" w:ascii="仿宋" w:hAnsi="仿宋" w:eastAsia="仿宋_GB2312" w:cs="AdobeSongStd-Light"/>
          <w:kern w:val="0"/>
          <w:szCs w:val="32"/>
        </w:rPr>
        <w:t xml:space="preserve">  杰出人才主要是指：师德高尚、教育教学或教育管理水平工作业绩突出、并能有效发挥示范引领作用的教育人才，主要包括以下对象：</w:t>
      </w:r>
    </w:p>
    <w:p w14:paraId="668DCC46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（一）国家级教学成果二等奖、省级教学成果特等奖核心成员；</w:t>
      </w:r>
    </w:p>
    <w:p w14:paraId="07FEEA1B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（二）正高级教师、省特级教师、大学教授；</w:t>
      </w:r>
    </w:p>
    <w:p w14:paraId="7D59A40D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（三）具有博士学位的副高级以上专业人才；</w:t>
      </w:r>
    </w:p>
    <w:p w14:paraId="62E5ACB2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（四）省知名校长（仅限引进）、名教师；</w:t>
      </w:r>
    </w:p>
    <w:p w14:paraId="3DAC423B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（五）省有突出贡献中青年专家；</w:t>
      </w:r>
    </w:p>
    <w:p w14:paraId="009F7159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（六）省“333 高层次人才培养工程”第二层次培养对象；</w:t>
      </w:r>
    </w:p>
    <w:p w14:paraId="4E65AAAB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（七）与上述同一层次的其他人才。</w:t>
      </w:r>
    </w:p>
    <w:p w14:paraId="04D8B918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引进杰出人才年龄一般不超过 50 周岁。</w:t>
      </w:r>
    </w:p>
    <w:p w14:paraId="72200B86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黑体" w:hAnsi="黑体" w:eastAsia="黑体" w:cs="AdobeSongStd-Light"/>
          <w:kern w:val="0"/>
          <w:szCs w:val="32"/>
        </w:rPr>
        <w:t>第八条</w:t>
      </w:r>
      <w:r>
        <w:rPr>
          <w:rFonts w:hint="eastAsia" w:ascii="仿宋" w:hAnsi="仿宋" w:eastAsia="仿宋_GB2312" w:cs="AdobeSongStd-Light"/>
          <w:kern w:val="0"/>
          <w:szCs w:val="32"/>
        </w:rPr>
        <w:t xml:space="preserve">  优秀人才主要是指：师德高尚、教育教学或教育管理水平较高、工作业绩优良，并能发挥示范作用的骨干教师和优秀校长，主要包括以下对象：</w:t>
      </w:r>
    </w:p>
    <w:p w14:paraId="45E1824F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（一）近三年省教学成果一等奖核心成员；</w:t>
      </w:r>
    </w:p>
    <w:p w14:paraId="7675F3C1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（二）地市有突出贡献中青年专家；</w:t>
      </w:r>
    </w:p>
    <w:p w14:paraId="52469200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（三）近三年指导学生在全国高中数学、物理、化学、生物联赛或信息奥林匹克竞赛中进入省队并获得全国一、二等奖的主要指导教师（或被评为同级别优秀指导教师）；</w:t>
      </w:r>
    </w:p>
    <w:p w14:paraId="3C00A10B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（四）与上述同一层次的其他人才。</w:t>
      </w:r>
    </w:p>
    <w:p w14:paraId="752F7019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引进优秀人才年龄一般不超过 50 周岁。</w:t>
      </w:r>
    </w:p>
    <w:p w14:paraId="771BFBC1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黑体" w:hAnsi="黑体" w:eastAsia="黑体" w:cs="AdobeSongStd-Light"/>
          <w:kern w:val="0"/>
          <w:szCs w:val="32"/>
        </w:rPr>
        <w:t>第九条</w:t>
      </w:r>
      <w:r>
        <w:rPr>
          <w:rFonts w:hint="eastAsia" w:ascii="仿宋" w:hAnsi="仿宋" w:eastAsia="仿宋_GB2312" w:cs="AdobeSongStd-Light"/>
          <w:kern w:val="0"/>
          <w:szCs w:val="32"/>
        </w:rPr>
        <w:t xml:space="preserve">  青年人才是指：师德高尚、教育教学或教育管理水平良好，具有较大发展潜力的青年拔尖人才。主要包括以下对象：</w:t>
      </w:r>
    </w:p>
    <w:p w14:paraId="169B1045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（一）35 周岁以下的博士；</w:t>
      </w:r>
    </w:p>
    <w:p w14:paraId="54E47833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（二）45 周岁以下的地市级学科带头人；</w:t>
      </w:r>
    </w:p>
    <w:p w14:paraId="6E393C97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  <w:r>
        <w:rPr>
          <w:rFonts w:hint="eastAsia" w:ascii="仿宋" w:hAnsi="仿宋" w:eastAsia="仿宋_GB2312" w:cs="AdobeSongStd-Light"/>
          <w:kern w:val="0"/>
          <w:szCs w:val="32"/>
        </w:rPr>
        <w:t>（三）与上述同一层次的其他人才。</w:t>
      </w:r>
    </w:p>
    <w:p w14:paraId="01142868">
      <w:pPr>
        <w:spacing w:line="580" w:lineRule="exact"/>
        <w:ind w:firstLine="640" w:firstLineChars="200"/>
        <w:rPr>
          <w:rFonts w:ascii="仿宋" w:hAnsi="仿宋" w:eastAsia="仿宋_GB2312" w:cs="AdobeSongStd-Light"/>
          <w:kern w:val="0"/>
          <w:szCs w:val="32"/>
        </w:rPr>
      </w:pPr>
    </w:p>
    <w:p w14:paraId="7D5ECD22">
      <w:pPr>
        <w:spacing w:line="580" w:lineRule="exact"/>
        <w:jc w:val="center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第三章  扶持</w:t>
      </w:r>
      <w:r>
        <w:rPr>
          <w:rFonts w:ascii="黑体" w:hAnsi="黑体" w:eastAsia="黑体" w:cs="Times New Roman"/>
          <w:szCs w:val="32"/>
        </w:rPr>
        <w:t>政策</w:t>
      </w:r>
    </w:p>
    <w:p w14:paraId="38F089C3">
      <w:pPr>
        <w:spacing w:line="580" w:lineRule="exact"/>
        <w:ind w:firstLine="640" w:firstLineChars="200"/>
        <w:jc w:val="left"/>
        <w:rPr>
          <w:rFonts w:ascii="仿宋" w:hAnsi="仿宋" w:eastAsia="仿宋_GB2312" w:cs="Helvetica"/>
          <w:szCs w:val="32"/>
        </w:rPr>
      </w:pPr>
      <w:r>
        <w:rPr>
          <w:rFonts w:hint="eastAsia" w:ascii="黑体" w:hAnsi="黑体" w:eastAsia="黑体" w:cs="Helvetica"/>
          <w:szCs w:val="32"/>
        </w:rPr>
        <w:t>第十条</w:t>
      </w:r>
      <w:r>
        <w:rPr>
          <w:rFonts w:hint="eastAsia" w:ascii="仿宋" w:hAnsi="仿宋" w:eastAsia="仿宋_GB2312" w:cs="Helvetica"/>
          <w:szCs w:val="32"/>
        </w:rPr>
        <w:t xml:space="preserve"> </w:t>
      </w:r>
      <w:r>
        <w:rPr>
          <w:rFonts w:ascii="仿宋" w:hAnsi="仿宋" w:eastAsia="仿宋_GB2312" w:cs="Helvetica"/>
          <w:szCs w:val="32"/>
        </w:rPr>
        <w:t xml:space="preserve"> </w:t>
      </w:r>
      <w:r>
        <w:rPr>
          <w:rFonts w:hint="eastAsia" w:ascii="仿宋" w:hAnsi="仿宋" w:eastAsia="仿宋_GB2312" w:cs="Helvetica"/>
          <w:szCs w:val="32"/>
        </w:rPr>
        <w:t>从区外引进上述人才，所需编制，在全区教育系统总编制内统筹解决。配偶、子女户口可随迁至本区，子女入学享受本区居民待遇。</w:t>
      </w:r>
    </w:p>
    <w:p w14:paraId="7EE1DF51">
      <w:pPr>
        <w:spacing w:line="580" w:lineRule="exact"/>
        <w:ind w:firstLine="640" w:firstLineChars="200"/>
        <w:jc w:val="left"/>
        <w:rPr>
          <w:rFonts w:ascii="仿宋" w:hAnsi="仿宋" w:eastAsia="仿宋_GB2312" w:cs="Helvetica"/>
          <w:color w:val="000000"/>
          <w:szCs w:val="32"/>
        </w:rPr>
      </w:pPr>
      <w:bookmarkStart w:id="0" w:name="_Hlk65461114"/>
      <w:r>
        <w:rPr>
          <w:rFonts w:hint="eastAsia" w:ascii="黑体" w:hAnsi="黑体" w:eastAsia="黑体" w:cs="Helvetica"/>
          <w:color w:val="000000"/>
          <w:szCs w:val="32"/>
        </w:rPr>
        <w:t>第十一条</w:t>
      </w:r>
      <w:bookmarkEnd w:id="0"/>
      <w:r>
        <w:rPr>
          <w:rFonts w:hint="eastAsia" w:ascii="仿宋" w:hAnsi="仿宋" w:eastAsia="仿宋_GB2312" w:cs="Helvetica"/>
          <w:color w:val="000000"/>
          <w:szCs w:val="32"/>
        </w:rPr>
        <w:t xml:space="preserve"> </w:t>
      </w:r>
      <w:r>
        <w:rPr>
          <w:rFonts w:ascii="仿宋" w:hAnsi="仿宋" w:eastAsia="仿宋_GB2312" w:cs="Helvetica"/>
          <w:color w:val="000000"/>
          <w:szCs w:val="32"/>
        </w:rPr>
        <w:t xml:space="preserve"> </w:t>
      </w:r>
      <w:r>
        <w:rPr>
          <w:rFonts w:hint="eastAsia" w:ascii="仿宋" w:hAnsi="仿宋" w:eastAsia="仿宋_GB2312" w:cs="Helvetica"/>
          <w:color w:val="000000"/>
          <w:szCs w:val="32"/>
        </w:rPr>
        <w:t>引进的人才以本人名义在本区购买首套房并经认定和自主申请，根据《“惠 鹏飞”英才计划人才乐居工程补贴申领办法（试行）》给予相应标准的购房补贴。</w:t>
      </w:r>
    </w:p>
    <w:p w14:paraId="6623E183">
      <w:pPr>
        <w:spacing w:line="580" w:lineRule="exact"/>
        <w:ind w:firstLine="640" w:firstLineChars="200"/>
        <w:jc w:val="left"/>
        <w:rPr>
          <w:rFonts w:ascii="仿宋" w:hAnsi="仿宋" w:eastAsia="仿宋_GB2312" w:cs="Helvetica"/>
          <w:szCs w:val="32"/>
        </w:rPr>
      </w:pPr>
      <w:r>
        <w:rPr>
          <w:rFonts w:hint="eastAsia" w:ascii="黑体" w:hAnsi="黑体" w:eastAsia="黑体" w:cs="Helvetica"/>
          <w:szCs w:val="32"/>
        </w:rPr>
        <w:t>第十二条</w:t>
      </w:r>
      <w:r>
        <w:rPr>
          <w:rFonts w:hint="eastAsia" w:ascii="仿宋" w:hAnsi="仿宋" w:eastAsia="仿宋_GB2312" w:cs="Helvetica"/>
          <w:szCs w:val="32"/>
        </w:rPr>
        <w:t xml:space="preserve">  对于区外引进和自主培育的以下三类教育人才，给予人才项目经费。</w:t>
      </w:r>
    </w:p>
    <w:p w14:paraId="5434D9CF">
      <w:pPr>
        <w:spacing w:line="580" w:lineRule="exact"/>
        <w:ind w:firstLine="640" w:firstLineChars="200"/>
        <w:jc w:val="left"/>
        <w:rPr>
          <w:rFonts w:ascii="仿宋" w:hAnsi="仿宋" w:eastAsia="仿宋_GB2312" w:cs="Helvetica"/>
          <w:szCs w:val="32"/>
        </w:rPr>
      </w:pPr>
      <w:r>
        <w:rPr>
          <w:rFonts w:hint="eastAsia" w:ascii="仿宋" w:hAnsi="仿宋" w:eastAsia="仿宋_GB2312" w:cs="Helvetica"/>
          <w:szCs w:val="32"/>
        </w:rPr>
        <w:t>（一）单个名家人才项目，给予 12 万元；</w:t>
      </w:r>
    </w:p>
    <w:p w14:paraId="62412610">
      <w:pPr>
        <w:spacing w:line="580" w:lineRule="exact"/>
        <w:ind w:firstLine="640" w:firstLineChars="200"/>
        <w:jc w:val="left"/>
        <w:rPr>
          <w:rFonts w:ascii="仿宋" w:hAnsi="仿宋" w:eastAsia="仿宋_GB2312" w:cs="Helvetica"/>
          <w:szCs w:val="32"/>
        </w:rPr>
      </w:pPr>
      <w:r>
        <w:rPr>
          <w:rFonts w:hint="eastAsia" w:ascii="仿宋" w:hAnsi="仿宋" w:eastAsia="仿宋_GB2312" w:cs="Helvetica"/>
          <w:szCs w:val="32"/>
        </w:rPr>
        <w:t>（二）单个专家人才项目，给予 9.6 万元；</w:t>
      </w:r>
    </w:p>
    <w:p w14:paraId="14DE1554">
      <w:pPr>
        <w:spacing w:line="580" w:lineRule="exact"/>
        <w:ind w:firstLine="640" w:firstLineChars="200"/>
        <w:jc w:val="left"/>
        <w:rPr>
          <w:rFonts w:ascii="仿宋" w:hAnsi="仿宋" w:eastAsia="仿宋_GB2312" w:cs="Helvetica"/>
          <w:szCs w:val="32"/>
        </w:rPr>
      </w:pPr>
      <w:r>
        <w:rPr>
          <w:rFonts w:hint="eastAsia" w:ascii="仿宋" w:hAnsi="仿宋" w:eastAsia="仿宋_GB2312" w:cs="Helvetica"/>
          <w:szCs w:val="32"/>
        </w:rPr>
        <w:t>（三）单个杰出人才项目，给予 3 万元-6 万元，其中省特级教师人才项目 6 万元，正高级教师、大学教授、博士、有突出贡献中青年专家人才项目 4.8 万元，其他类别项目 3 万元。</w:t>
      </w:r>
    </w:p>
    <w:p w14:paraId="595D8DA1">
      <w:pPr>
        <w:spacing w:line="580" w:lineRule="exact"/>
        <w:ind w:firstLine="640" w:firstLineChars="200"/>
        <w:jc w:val="left"/>
        <w:rPr>
          <w:rFonts w:ascii="仿宋" w:hAnsi="仿宋" w:eastAsia="仿宋_GB2312" w:cs="Helvetica"/>
          <w:szCs w:val="32"/>
        </w:rPr>
      </w:pPr>
      <w:r>
        <w:rPr>
          <w:rFonts w:hint="eastAsia" w:ascii="仿宋" w:hAnsi="仿宋" w:eastAsia="仿宋_GB2312" w:cs="Helvetica"/>
          <w:szCs w:val="32"/>
        </w:rPr>
        <w:t>人才项目经费根据人才申领项目、认定和年度人才专项考核情况发放。教学成果奖核心成员只限于引进（或获奖）当年度申请，下一年度一次性考核发放以上人才项目经费。</w:t>
      </w:r>
    </w:p>
    <w:p w14:paraId="3F67942A">
      <w:pPr>
        <w:spacing w:line="580" w:lineRule="exact"/>
        <w:ind w:firstLine="640" w:firstLineChars="200"/>
        <w:jc w:val="left"/>
        <w:rPr>
          <w:rFonts w:ascii="仿宋" w:hAnsi="仿宋" w:eastAsia="仿宋_GB2312" w:cs="Helvetica"/>
          <w:szCs w:val="32"/>
        </w:rPr>
      </w:pPr>
      <w:r>
        <w:rPr>
          <w:rFonts w:hint="eastAsia" w:ascii="仿宋" w:hAnsi="仿宋" w:eastAsia="仿宋_GB2312" w:cs="Helvetica"/>
          <w:szCs w:val="32"/>
        </w:rPr>
        <w:t>对于引进和自主培育的优秀人才（或团队）、青年人才，经自主申请、认定，于引进（获得荣誉）下一年度发放最高 2 万元的一次性人才奖励。引进的青年人才中（二）对象，三年内本人申报并通过无锡市同级骨干教师评选，可纳入本区相应骨干教师考核体系，享受骨干教师年度考核奖励。</w:t>
      </w:r>
    </w:p>
    <w:p w14:paraId="584504A7">
      <w:pPr>
        <w:spacing w:line="580" w:lineRule="exact"/>
        <w:jc w:val="left"/>
        <w:rPr>
          <w:rFonts w:ascii="仿宋" w:hAnsi="仿宋" w:eastAsia="仿宋_GB2312" w:cs="Helvetica"/>
          <w:color w:val="000000"/>
          <w:szCs w:val="32"/>
        </w:rPr>
      </w:pPr>
    </w:p>
    <w:p w14:paraId="6AD05DDF">
      <w:pPr>
        <w:spacing w:line="580" w:lineRule="exact"/>
        <w:jc w:val="center"/>
        <w:rPr>
          <w:rFonts w:ascii="黑体" w:hAnsi="黑体" w:eastAsia="黑体" w:cs="Helvetica"/>
          <w:color w:val="000000"/>
          <w:szCs w:val="32"/>
        </w:rPr>
      </w:pPr>
      <w:r>
        <w:rPr>
          <w:rFonts w:hint="eastAsia" w:ascii="黑体" w:hAnsi="黑体" w:eastAsia="黑体" w:cs="Helvetica"/>
          <w:color w:val="000000"/>
          <w:szCs w:val="32"/>
        </w:rPr>
        <w:t>第四章</w:t>
      </w:r>
      <w:r>
        <w:rPr>
          <w:rFonts w:ascii="黑体" w:hAnsi="黑体" w:eastAsia="黑体" w:cs="Helvetica"/>
          <w:color w:val="000000"/>
          <w:szCs w:val="32"/>
        </w:rPr>
        <w:t xml:space="preserve">  </w:t>
      </w:r>
      <w:r>
        <w:rPr>
          <w:rFonts w:hint="eastAsia" w:ascii="黑体" w:hAnsi="黑体" w:eastAsia="黑体" w:cs="Helvetica"/>
          <w:color w:val="000000"/>
          <w:szCs w:val="32"/>
        </w:rPr>
        <w:t>人才</w:t>
      </w:r>
      <w:r>
        <w:rPr>
          <w:rFonts w:ascii="黑体" w:hAnsi="黑体" w:eastAsia="黑体" w:cs="Helvetica"/>
          <w:color w:val="000000"/>
          <w:szCs w:val="32"/>
        </w:rPr>
        <w:t>认定</w:t>
      </w:r>
    </w:p>
    <w:p w14:paraId="2118F710">
      <w:pPr>
        <w:spacing w:line="580" w:lineRule="exact"/>
        <w:ind w:firstLine="640" w:firstLineChars="200"/>
        <w:jc w:val="left"/>
        <w:rPr>
          <w:rFonts w:ascii="仿宋" w:hAnsi="仿宋" w:eastAsia="仿宋_GB2312" w:cs="Helvetica"/>
          <w:color w:val="000000"/>
          <w:szCs w:val="32"/>
        </w:rPr>
      </w:pPr>
      <w:r>
        <w:rPr>
          <w:rFonts w:hint="eastAsia" w:ascii="黑体" w:hAnsi="黑体" w:eastAsia="黑体" w:cs="Helvetica"/>
          <w:color w:val="000000"/>
          <w:szCs w:val="32"/>
        </w:rPr>
        <w:t>第</w:t>
      </w:r>
      <w:r>
        <w:rPr>
          <w:rFonts w:ascii="黑体" w:hAnsi="黑体" w:eastAsia="黑体" w:cs="Helvetica"/>
          <w:color w:val="000000"/>
          <w:szCs w:val="32"/>
        </w:rPr>
        <w:t>十</w:t>
      </w:r>
      <w:r>
        <w:rPr>
          <w:rFonts w:hint="eastAsia" w:ascii="黑体" w:hAnsi="黑体" w:eastAsia="黑体" w:cs="Helvetica"/>
          <w:color w:val="000000"/>
          <w:szCs w:val="32"/>
        </w:rPr>
        <w:t>七</w:t>
      </w:r>
      <w:r>
        <w:rPr>
          <w:rFonts w:ascii="黑体" w:hAnsi="黑体" w:eastAsia="黑体" w:cs="Helvetica"/>
          <w:color w:val="000000"/>
          <w:szCs w:val="32"/>
        </w:rPr>
        <w:t>条</w:t>
      </w:r>
      <w:r>
        <w:rPr>
          <w:rFonts w:hint="eastAsia" w:ascii="仿宋" w:hAnsi="仿宋" w:eastAsia="仿宋_GB2312" w:cs="Helvetica"/>
          <w:color w:val="000000"/>
          <w:szCs w:val="32"/>
        </w:rPr>
        <w:t xml:space="preserve">  区外引进人才，由区教育局报备区人社局后，按照公开招聘相关规定进行。不定期发布高质量人才招聘公告、组织评审、体检和考察，办理入编、入职手续。人才经自主申请、区教育人才专家评审委员会首次认定通过、区委人才办联席会议报备同意、公示无异议后，按照本实施办法落实相关政策待遇；未经此程序，不参照本实施办法落实对应待遇。</w:t>
      </w:r>
    </w:p>
    <w:p w14:paraId="55ECC2ED">
      <w:pPr>
        <w:spacing w:line="580" w:lineRule="exact"/>
        <w:ind w:firstLine="640" w:firstLineChars="200"/>
        <w:jc w:val="left"/>
        <w:rPr>
          <w:rFonts w:ascii="仿宋" w:hAnsi="仿宋" w:eastAsia="仿宋_GB2312" w:cs="Helvetica"/>
          <w:color w:val="000000"/>
          <w:szCs w:val="32"/>
        </w:rPr>
      </w:pPr>
      <w:r>
        <w:rPr>
          <w:rFonts w:hint="eastAsia" w:ascii="黑体" w:hAnsi="黑体" w:eastAsia="黑体" w:cs="Helvetica"/>
          <w:color w:val="000000"/>
          <w:szCs w:val="32"/>
        </w:rPr>
        <w:t>第十九条</w:t>
      </w:r>
      <w:r>
        <w:rPr>
          <w:rFonts w:hint="eastAsia" w:ascii="仿宋" w:hAnsi="仿宋" w:eastAsia="仿宋_GB2312" w:cs="Helvetica"/>
          <w:color w:val="000000"/>
          <w:szCs w:val="32"/>
        </w:rPr>
        <w:t xml:space="preserve">  引进和自主培育各类人才，其中名家人才、专家人才、杰出人才须与用人单位签订十年以上服务协议；其中优秀人才、青年人才须与用人单位签订五年以上服务协议。</w:t>
      </w:r>
    </w:p>
    <w:p w14:paraId="52792DFF">
      <w:pPr>
        <w:spacing w:line="580" w:lineRule="exact"/>
        <w:ind w:firstLine="640" w:firstLineChars="200"/>
        <w:jc w:val="left"/>
        <w:rPr>
          <w:rFonts w:ascii="仿宋" w:hAnsi="仿宋" w:eastAsia="仿宋_GB2312" w:cs="Helvetica"/>
          <w:color w:val="000000"/>
          <w:szCs w:val="32"/>
        </w:rPr>
      </w:pPr>
    </w:p>
    <w:p w14:paraId="0DE6649C">
      <w:pPr>
        <w:spacing w:line="580" w:lineRule="exact"/>
        <w:jc w:val="center"/>
        <w:rPr>
          <w:rFonts w:ascii="楷体" w:hAnsi="楷体" w:eastAsia="楷体" w:cs="Times New Roman"/>
          <w:szCs w:val="32"/>
        </w:rPr>
      </w:pPr>
      <w:r>
        <w:rPr>
          <w:rFonts w:hint="eastAsia" w:ascii="黑体" w:hAnsi="黑体" w:eastAsia="黑体" w:cs="Helvetica"/>
          <w:color w:val="000000"/>
          <w:szCs w:val="32"/>
        </w:rPr>
        <w:t>第五章</w:t>
      </w:r>
      <w:r>
        <w:rPr>
          <w:rFonts w:ascii="黑体" w:hAnsi="黑体" w:eastAsia="黑体" w:cs="Helvetica"/>
          <w:color w:val="000000"/>
          <w:szCs w:val="32"/>
        </w:rPr>
        <w:t xml:space="preserve">  </w:t>
      </w:r>
      <w:r>
        <w:rPr>
          <w:rFonts w:hint="eastAsia" w:ascii="黑体" w:hAnsi="黑体" w:eastAsia="黑体" w:cs="Helvetica"/>
          <w:color w:val="000000"/>
          <w:szCs w:val="32"/>
        </w:rPr>
        <w:t>考核管理</w:t>
      </w:r>
    </w:p>
    <w:p w14:paraId="5AAE6766">
      <w:pPr>
        <w:spacing w:line="580" w:lineRule="exact"/>
        <w:ind w:firstLine="640" w:firstLineChars="200"/>
        <w:rPr>
          <w:rFonts w:ascii="仿宋" w:hAnsi="仿宋" w:eastAsia="仿宋_GB2312" w:cs="Helvetica"/>
          <w:color w:val="000000"/>
          <w:szCs w:val="32"/>
        </w:rPr>
      </w:pPr>
      <w:r>
        <w:rPr>
          <w:rFonts w:hint="eastAsia" w:ascii="黑体" w:hAnsi="黑体" w:eastAsia="黑体" w:cs="Helvetica"/>
          <w:color w:val="000000"/>
          <w:szCs w:val="32"/>
        </w:rPr>
        <w:t>第二十条</w:t>
      </w:r>
      <w:r>
        <w:rPr>
          <w:rFonts w:hint="eastAsia" w:ascii="仿宋" w:hAnsi="仿宋" w:eastAsia="仿宋_GB2312" w:cs="Helvetica"/>
          <w:color w:val="000000"/>
          <w:szCs w:val="32"/>
        </w:rPr>
        <w:t xml:space="preserve">  由区教育局牵头成立区教育人才专家评审委员会，在区委人才办联席会议领导下负责教育人才引育管理统筹协调，建立工作制度，制订实施《惠山区基础教育高质量人才考核与项目经费管理办法》，研究解决教育人才引育管理中的重大问题。专家评审委员会办公室设在区教育局，负责日常管理工作。</w:t>
      </w:r>
    </w:p>
    <w:p w14:paraId="32F5486D">
      <w:pPr>
        <w:spacing w:line="580" w:lineRule="exact"/>
        <w:ind w:firstLine="640" w:firstLineChars="200"/>
        <w:rPr>
          <w:rFonts w:ascii="仿宋" w:hAnsi="仿宋" w:eastAsia="仿宋_GB2312" w:cs="Helvetica"/>
          <w:color w:val="000000"/>
          <w:szCs w:val="32"/>
        </w:rPr>
      </w:pPr>
      <w:r>
        <w:rPr>
          <w:rFonts w:hint="eastAsia" w:ascii="黑体" w:hAnsi="黑体" w:eastAsia="黑体" w:cs="Helvetica"/>
          <w:color w:val="000000"/>
          <w:szCs w:val="32"/>
        </w:rPr>
        <w:t>第二十三条</w:t>
      </w:r>
      <w:r>
        <w:rPr>
          <w:rFonts w:hint="eastAsia" w:ascii="仿宋" w:hAnsi="仿宋" w:eastAsia="仿宋_GB2312" w:cs="Helvetica"/>
          <w:color w:val="000000"/>
          <w:szCs w:val="32"/>
        </w:rPr>
        <w:t xml:space="preserve">  各类人才经查实有下列情形之一的，用人单位应与其解除聘任合同，取消人才认定资格，取消专项考核和项目经费发放，各类人才退回全部人才奖励、购房补贴等资金，并按规定追究相关责任。</w:t>
      </w:r>
    </w:p>
    <w:p w14:paraId="4F306388">
      <w:pPr>
        <w:spacing w:line="580" w:lineRule="exact"/>
        <w:ind w:firstLine="640" w:firstLineChars="200"/>
        <w:rPr>
          <w:rFonts w:ascii="仿宋" w:hAnsi="仿宋" w:eastAsia="仿宋_GB2312" w:cs="Helvetica"/>
          <w:color w:val="000000"/>
          <w:szCs w:val="32"/>
        </w:rPr>
      </w:pPr>
      <w:r>
        <w:rPr>
          <w:rFonts w:hint="eastAsia" w:ascii="仿宋" w:hAnsi="仿宋" w:eastAsia="仿宋_GB2312" w:cs="Helvetica"/>
          <w:color w:val="000000"/>
          <w:szCs w:val="32"/>
        </w:rPr>
        <w:t>（一）在服务协议期间，自主从所在单位跨区调动、辞职、离职的；</w:t>
      </w:r>
    </w:p>
    <w:p w14:paraId="49E5B9B5">
      <w:pPr>
        <w:spacing w:line="580" w:lineRule="exact"/>
        <w:ind w:firstLine="640" w:firstLineChars="200"/>
        <w:rPr>
          <w:rFonts w:ascii="仿宋" w:hAnsi="仿宋" w:eastAsia="仿宋_GB2312" w:cs="Helvetica"/>
          <w:color w:val="000000"/>
          <w:szCs w:val="32"/>
        </w:rPr>
      </w:pPr>
      <w:r>
        <w:rPr>
          <w:rFonts w:hint="eastAsia" w:ascii="仿宋" w:hAnsi="仿宋" w:eastAsia="仿宋_GB2312" w:cs="Helvetica"/>
          <w:color w:val="000000"/>
          <w:szCs w:val="32"/>
        </w:rPr>
        <w:t>（二）聘期内到岗工作时间严重不足；</w:t>
      </w:r>
    </w:p>
    <w:p w14:paraId="5C553CCA">
      <w:pPr>
        <w:spacing w:line="580" w:lineRule="exact"/>
        <w:ind w:firstLine="640" w:firstLineChars="200"/>
        <w:rPr>
          <w:rFonts w:ascii="仿宋" w:hAnsi="仿宋" w:eastAsia="仿宋_GB2312" w:cs="Helvetica"/>
          <w:color w:val="000000"/>
          <w:szCs w:val="32"/>
        </w:rPr>
      </w:pPr>
      <w:r>
        <w:rPr>
          <w:rFonts w:hint="eastAsia" w:ascii="仿宋" w:hAnsi="仿宋" w:eastAsia="仿宋_GB2312" w:cs="Helvetica"/>
          <w:color w:val="000000"/>
          <w:szCs w:val="32"/>
        </w:rPr>
        <w:t>（三）未能履行岗位职责、完成既定工作目标与任务；</w:t>
      </w:r>
    </w:p>
    <w:p w14:paraId="023D58A1">
      <w:pPr>
        <w:spacing w:line="580" w:lineRule="exact"/>
        <w:ind w:firstLine="640" w:firstLineChars="200"/>
        <w:rPr>
          <w:rFonts w:ascii="仿宋" w:hAnsi="仿宋" w:eastAsia="仿宋_GB2312" w:cs="Helvetica"/>
          <w:color w:val="000000"/>
          <w:szCs w:val="32"/>
        </w:rPr>
      </w:pPr>
      <w:r>
        <w:rPr>
          <w:rFonts w:hint="eastAsia" w:ascii="仿宋" w:hAnsi="仿宋" w:eastAsia="仿宋_GB2312" w:cs="Helvetica"/>
          <w:color w:val="000000"/>
          <w:szCs w:val="32"/>
        </w:rPr>
        <w:t>（四）存在弄虚作假行为；</w:t>
      </w:r>
    </w:p>
    <w:p w14:paraId="6ECC60D8">
      <w:pPr>
        <w:spacing w:line="580" w:lineRule="exact"/>
        <w:ind w:firstLine="640" w:firstLineChars="200"/>
        <w:rPr>
          <w:rFonts w:ascii="仿宋" w:hAnsi="仿宋" w:eastAsia="仿宋_GB2312" w:cs="Helvetica"/>
          <w:color w:val="000000"/>
          <w:szCs w:val="32"/>
        </w:rPr>
      </w:pPr>
      <w:r>
        <w:rPr>
          <w:rFonts w:hint="eastAsia" w:ascii="仿宋" w:hAnsi="仿宋" w:eastAsia="仿宋_GB2312" w:cs="Helvetica"/>
          <w:color w:val="000000"/>
          <w:szCs w:val="32"/>
        </w:rPr>
        <w:t>（五）存在学术不端行为或违反学术道德规范；</w:t>
      </w:r>
    </w:p>
    <w:p w14:paraId="2D1F475B">
      <w:pPr>
        <w:spacing w:line="580" w:lineRule="exact"/>
        <w:ind w:firstLine="640" w:firstLineChars="200"/>
        <w:rPr>
          <w:rFonts w:ascii="仿宋" w:hAnsi="仿宋" w:eastAsia="仿宋_GB2312" w:cs="Helvetica"/>
          <w:color w:val="000000"/>
          <w:szCs w:val="32"/>
        </w:rPr>
      </w:pPr>
      <w:r>
        <w:rPr>
          <w:rFonts w:hint="eastAsia" w:ascii="仿宋" w:hAnsi="仿宋" w:eastAsia="仿宋_GB2312" w:cs="Helvetica"/>
          <w:color w:val="000000"/>
          <w:szCs w:val="32"/>
        </w:rPr>
        <w:t>（六）违反师德师风规范或违法、违纪造成恶劣影响；</w:t>
      </w:r>
    </w:p>
    <w:p w14:paraId="5B9E5140">
      <w:pPr>
        <w:spacing w:line="580" w:lineRule="exact"/>
        <w:ind w:firstLine="640" w:firstLineChars="200"/>
        <w:rPr>
          <w:rFonts w:ascii="仿宋" w:hAnsi="仿宋" w:eastAsia="仿宋_GB2312" w:cs="Helvetica"/>
          <w:color w:val="000000"/>
          <w:szCs w:val="32"/>
        </w:rPr>
      </w:pPr>
      <w:r>
        <w:rPr>
          <w:rFonts w:hint="eastAsia" w:ascii="仿宋" w:hAnsi="仿宋" w:eastAsia="仿宋_GB2312" w:cs="Helvetica"/>
          <w:color w:val="000000"/>
          <w:szCs w:val="32"/>
        </w:rPr>
        <w:t>（七）当年年度考核不合格或连续两年基本合格。</w:t>
      </w: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ODVhYTQ2YWQzYjQ2ODAyOWUwN2UxYzUxZDE1YTYifQ=="/>
  </w:docVars>
  <w:rsids>
    <w:rsidRoot w:val="3EA72C75"/>
    <w:rsid w:val="00216981"/>
    <w:rsid w:val="00657FC6"/>
    <w:rsid w:val="008B4DA8"/>
    <w:rsid w:val="04C1653C"/>
    <w:rsid w:val="065C568D"/>
    <w:rsid w:val="094C3466"/>
    <w:rsid w:val="0E1B46AB"/>
    <w:rsid w:val="105D24B8"/>
    <w:rsid w:val="13214E77"/>
    <w:rsid w:val="19CD231A"/>
    <w:rsid w:val="1FDF15DF"/>
    <w:rsid w:val="20DE12B7"/>
    <w:rsid w:val="266A3452"/>
    <w:rsid w:val="27540157"/>
    <w:rsid w:val="29BB0F37"/>
    <w:rsid w:val="2ABE5B1A"/>
    <w:rsid w:val="2EC60DB5"/>
    <w:rsid w:val="30292505"/>
    <w:rsid w:val="352D5A09"/>
    <w:rsid w:val="35B93F2E"/>
    <w:rsid w:val="37081B14"/>
    <w:rsid w:val="379C5206"/>
    <w:rsid w:val="386046B4"/>
    <w:rsid w:val="38922AFE"/>
    <w:rsid w:val="3E0070F8"/>
    <w:rsid w:val="3EA72C75"/>
    <w:rsid w:val="42AE6326"/>
    <w:rsid w:val="4540730F"/>
    <w:rsid w:val="49E46913"/>
    <w:rsid w:val="4C325F10"/>
    <w:rsid w:val="50E104B8"/>
    <w:rsid w:val="51BE2F77"/>
    <w:rsid w:val="55CC2842"/>
    <w:rsid w:val="57117653"/>
    <w:rsid w:val="5889499A"/>
    <w:rsid w:val="5F4A23F3"/>
    <w:rsid w:val="62753EAB"/>
    <w:rsid w:val="64BA1B9D"/>
    <w:rsid w:val="69095760"/>
    <w:rsid w:val="6B4F2100"/>
    <w:rsid w:val="6C604A30"/>
    <w:rsid w:val="6D241989"/>
    <w:rsid w:val="767A7199"/>
    <w:rsid w:val="783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2106</Words>
  <Characters>2122</Characters>
  <Lines>15</Lines>
  <Paragraphs>4</Paragraphs>
  <TotalTime>5</TotalTime>
  <ScaleCrop>false</ScaleCrop>
  <LinksUpToDate>false</LinksUpToDate>
  <CharactersWithSpaces>2184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2025-09-28T03:07:00Z</dcterms:created>
  <dc:creator>尹霞</dc:creator>
  <cp:lastModifiedBy>开心努力</cp:lastModifiedBy>
  <dcterms:modified xsi:type="dcterms:W3CDTF">2025-10-14T00:55:44Z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D4EFC58BBF6A49A68947E2E087890F8D_11</vt:lpwstr>
  </property>
  <property fmtid="{D5CDD505-2E9C-101B-9397-08002B2CF9AE}" pid="4" name="KSOTemplateDocerSaveRecord">
    <vt:lpwstr>eyJoZGlkIjoiNWRiNzQyY2ZiZTdmMDM3MGJmMTYwM2MyMjE4NGU5NmMiLCJ1c2VySWQiOiIyMzU0OTQ3NDMifQ==</vt:lpwstr>
  </property>
</Properties>
</file>