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30902">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14:paraId="54A550B7">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38858367">
      <w:pPr>
        <w:spacing w:line="500" w:lineRule="exact"/>
        <w:ind w:firstLine="560" w:firstLineChars="200"/>
        <w:rPr>
          <w:rFonts w:ascii="黑体" w:hAnsi="黑体" w:eastAsia="黑体" w:cs="黑体"/>
          <w:sz w:val="28"/>
          <w:szCs w:val="28"/>
        </w:rPr>
      </w:pPr>
    </w:p>
    <w:p w14:paraId="7A113BA7">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一、网上填写报名信息时应注意什么？</w:t>
      </w:r>
    </w:p>
    <w:p w14:paraId="6E6DB7D7">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21B83C8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网上报名系统的表项中未能涵盖应聘岗位要求资格条件的，务必在</w:t>
      </w:r>
      <w:r>
        <w:rPr>
          <w:rFonts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rPr>
        <w:t>个人简历</w:t>
      </w:r>
      <w:r>
        <w:rPr>
          <w:rFonts w:ascii="仿宋_GB2312" w:hAnsi="仿宋_GB2312" w:eastAsia="仿宋_GB2312" w:cs="仿宋_GB2312"/>
          <w:color w:val="FF0000"/>
          <w:sz w:val="28"/>
          <w:szCs w:val="28"/>
        </w:rPr>
        <w:t>栏”中如实填写。</w:t>
      </w:r>
      <w:r>
        <w:rPr>
          <w:rFonts w:ascii="仿宋_GB2312" w:hAnsi="仿宋_GB2312" w:eastAsia="仿宋_GB2312" w:cs="仿宋_GB2312"/>
          <w:sz w:val="28"/>
          <w:szCs w:val="28"/>
        </w:rPr>
        <w:t>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56B9E29F">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2FDCDB4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5A9DFEC9">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w:t>
      </w:r>
      <w:r>
        <w:rPr>
          <w:rFonts w:ascii="黑体" w:hAnsi="黑体" w:eastAsia="黑体" w:cs="黑体"/>
          <w:sz w:val="28"/>
          <w:szCs w:val="28"/>
        </w:rPr>
        <w:t>、基层工作经历如何界定？</w:t>
      </w:r>
    </w:p>
    <w:p w14:paraId="5B94AC19">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（一）什么是基层工作经历？</w:t>
      </w:r>
    </w:p>
    <w:p w14:paraId="51D7AD97">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5834F0ED">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高校毕业生在校读书期间的社会实践经历，不能视为基层工作经历。</w:t>
      </w:r>
    </w:p>
    <w:p w14:paraId="37B58352">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二</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基层工作经历起始时间如何界定？</w:t>
      </w:r>
    </w:p>
    <w:p w14:paraId="10A3CAD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国有企业工作的人员，基层工作经历时间自报到之日算起。</w:t>
      </w:r>
    </w:p>
    <w:p w14:paraId="3EBCB10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7FB65D1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到基层特定公益岗位（社会管理和公共服务）初次就业的人员，基层工作经历时间从工作协议约定的起始时间算起。</w:t>
      </w:r>
    </w:p>
    <w:p w14:paraId="52CD47D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1119D93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在其他经济组织、社会组织等单位工作的人员，基层工作经历时间以劳动合同约定的起始时间算起。</w:t>
      </w:r>
    </w:p>
    <w:p w14:paraId="0EB6E4B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自主创业并办理工商注册手续的人员，其基层工作经历时间自营业执照颁发之日算起。</w:t>
      </w:r>
    </w:p>
    <w:p w14:paraId="3D89DDA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以灵活就业形式初次就业人员，其基层工作经历时间从登记灵活就业并经审批确认的起始时间算起。</w:t>
      </w:r>
    </w:p>
    <w:p w14:paraId="456FCAC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在各级机关事业单位工作的编外人员，其基层工作经历时间自报到之日算起。</w:t>
      </w:r>
    </w:p>
    <w:p w14:paraId="3BD2402A">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三</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基层工作经历截止时间如何界定？</w:t>
      </w:r>
    </w:p>
    <w:p w14:paraId="5B98E1D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基层工作经历计算时间截止到本次公开招聘报名第一日。</w:t>
      </w:r>
    </w:p>
    <w:p w14:paraId="26155DB5">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四</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基层工作经历认定的操作原则？</w:t>
      </w:r>
    </w:p>
    <w:p w14:paraId="40FC1E08">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基层工作经历的证明材料由报考人员自行申报提交。</w:t>
      </w:r>
    </w:p>
    <w:p w14:paraId="3CB4689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报考人员对提交的证明材料真实性负责，凡被举报查实证明材料弄虚作假的，按规定取消本次应聘资格或予以辞聘、清退。</w:t>
      </w:r>
    </w:p>
    <w:p w14:paraId="55142E58">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基层工作经历的时间可按月累计，合计服务时间满24个月，视为具有两年基层工作经历。</w:t>
      </w:r>
    </w:p>
    <w:p w14:paraId="5ED28696">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三、专业如何认定？</w:t>
      </w:r>
    </w:p>
    <w:p w14:paraId="1F764539">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75D0737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7B6DEB7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本科、研究生专业参考目录为教育部印发的</w:t>
      </w:r>
      <w:r>
        <w:rPr>
          <w:rFonts w:hint="eastAsia" w:ascii="仿宋_GB2312" w:hAnsi="仿宋_GB2312" w:eastAsia="仿宋_GB2312" w:cs="仿宋_GB2312"/>
          <w:sz w:val="28"/>
          <w:szCs w:val="28"/>
        </w:rPr>
        <w:t>《职业教育专业目录（2021年）》</w:t>
      </w:r>
      <w:r>
        <w:rPr>
          <w:rFonts w:ascii="仿宋_GB2312" w:hAnsi="仿宋_GB2312" w:eastAsia="仿宋_GB2312" w:cs="仿宋_GB2312"/>
          <w:sz w:val="28"/>
          <w:szCs w:val="28"/>
        </w:rPr>
        <w:t>《国家普通高等学校本科专业目录（2024年）》《研究生教育学科专业目录（2022年）》。留学归国人员应持国家教育部留学服务中心认证学历、学位参加资格审查。</w:t>
      </w:r>
    </w:p>
    <w:p w14:paraId="43DB9FD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对于专业目录中没有的国（境）外专业，应聘人员在报名时需在备注栏中注明主要课程、研究方向和学习内容等情况，必要时可主动联系招聘单位介绍有关情况，</w:t>
      </w:r>
      <w:r>
        <w:rPr>
          <w:rFonts w:hint="eastAsia" w:ascii="仿宋_GB2312" w:hAnsi="仿宋_GB2312" w:eastAsia="仿宋_GB2312" w:cs="仿宋_GB2312"/>
          <w:color w:val="FF0000"/>
          <w:sz w:val="28"/>
          <w:szCs w:val="28"/>
        </w:rPr>
        <w:t>提供</w:t>
      </w:r>
      <w:r>
        <w:rPr>
          <w:rFonts w:ascii="仿宋_GB2312" w:hAnsi="仿宋_GB2312" w:eastAsia="仿宋_GB2312" w:cs="仿宋_GB2312"/>
          <w:color w:val="FF0000"/>
          <w:sz w:val="28"/>
          <w:szCs w:val="28"/>
        </w:rPr>
        <w:t>所学</w:t>
      </w:r>
      <w:r>
        <w:rPr>
          <w:rFonts w:hint="eastAsia" w:ascii="仿宋_GB2312" w:hAnsi="仿宋_GB2312" w:eastAsia="仿宋_GB2312" w:cs="仿宋_GB2312"/>
          <w:color w:val="FF0000"/>
          <w:sz w:val="28"/>
          <w:szCs w:val="28"/>
        </w:rPr>
        <w:t>主要</w:t>
      </w:r>
      <w:r>
        <w:rPr>
          <w:rFonts w:ascii="仿宋_GB2312" w:hAnsi="仿宋_GB2312" w:eastAsia="仿宋_GB2312" w:cs="仿宋_GB2312"/>
          <w:color w:val="FF0000"/>
          <w:sz w:val="28"/>
          <w:szCs w:val="28"/>
        </w:rPr>
        <w:t>课程、研究方向</w:t>
      </w:r>
      <w:r>
        <w:rPr>
          <w:rFonts w:hint="eastAsia" w:ascii="仿宋_GB2312" w:hAnsi="仿宋_GB2312" w:eastAsia="仿宋_GB2312" w:cs="仿宋_GB2312"/>
          <w:color w:val="FF0000"/>
          <w:sz w:val="28"/>
          <w:szCs w:val="28"/>
        </w:rPr>
        <w:t>及</w:t>
      </w:r>
      <w:r>
        <w:rPr>
          <w:rFonts w:ascii="仿宋_GB2312" w:hAnsi="仿宋_GB2312" w:eastAsia="仿宋_GB2312" w:cs="仿宋_GB2312"/>
          <w:color w:val="FF0000"/>
          <w:sz w:val="28"/>
          <w:szCs w:val="28"/>
        </w:rPr>
        <w:t>相关高校或省</w:t>
      </w:r>
      <w:r>
        <w:rPr>
          <w:rFonts w:hint="eastAsia" w:ascii="仿宋_GB2312" w:hAnsi="仿宋_GB2312" w:eastAsia="仿宋_GB2312" w:cs="仿宋_GB2312"/>
          <w:color w:val="FF0000"/>
          <w:sz w:val="28"/>
          <w:szCs w:val="28"/>
        </w:rPr>
        <w:t>及</w:t>
      </w:r>
      <w:r>
        <w:rPr>
          <w:rFonts w:ascii="仿宋_GB2312" w:hAnsi="仿宋_GB2312" w:eastAsia="仿宋_GB2312" w:cs="仿宋_GB2312"/>
          <w:color w:val="FF0000"/>
          <w:sz w:val="28"/>
          <w:szCs w:val="28"/>
        </w:rPr>
        <w:t>以上相关科研机构等第三方</w:t>
      </w:r>
      <w:r>
        <w:rPr>
          <w:rFonts w:hint="eastAsia" w:ascii="仿宋_GB2312" w:hAnsi="仿宋_GB2312" w:eastAsia="仿宋_GB2312" w:cs="仿宋_GB2312"/>
          <w:color w:val="FF0000"/>
          <w:sz w:val="28"/>
          <w:szCs w:val="28"/>
        </w:rPr>
        <w:t>的专业认定证明材料</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由招聘单位或者其主管部门（单位）对其留学所学专业进行认定，认定为相似专业的视为专业条件合格。</w:t>
      </w:r>
    </w:p>
    <w:p w14:paraId="4CA9CB3F">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333333"/>
          <w:sz w:val="28"/>
          <w:szCs w:val="28"/>
        </w:rPr>
        <w:t>在符合专业等其他条件前提下，</w:t>
      </w:r>
      <w:r>
        <w:rPr>
          <w:rFonts w:ascii="仿宋_GB2312" w:hAnsi="仿宋_GB2312" w:eastAsia="仿宋_GB2312" w:cs="仿宋_GB2312"/>
          <w:color w:val="333333"/>
          <w:sz w:val="28"/>
          <w:szCs w:val="28"/>
        </w:rPr>
        <w:t>技工院校高级工班</w:t>
      </w:r>
      <w:r>
        <w:rPr>
          <w:rFonts w:hint="eastAsia" w:ascii="仿宋_GB2312" w:hAnsi="仿宋_GB2312" w:eastAsia="仿宋_GB2312" w:cs="仿宋_GB2312"/>
          <w:color w:val="333333"/>
          <w:sz w:val="28"/>
          <w:szCs w:val="28"/>
        </w:rPr>
        <w:t>毕业生可报名应聘学历要求为专科的岗位，</w:t>
      </w:r>
      <w:r>
        <w:rPr>
          <w:rFonts w:ascii="仿宋_GB2312" w:hAnsi="仿宋_GB2312" w:eastAsia="仿宋_GB2312" w:cs="仿宋_GB2312"/>
          <w:color w:val="333333"/>
          <w:sz w:val="28"/>
          <w:szCs w:val="28"/>
        </w:rPr>
        <w:t>预备技师（技师）班毕业</w:t>
      </w:r>
      <w:r>
        <w:rPr>
          <w:rFonts w:hint="eastAsia" w:ascii="仿宋_GB2312" w:hAnsi="仿宋_GB2312" w:eastAsia="仿宋_GB2312" w:cs="仿宋_GB2312"/>
          <w:color w:val="333333"/>
          <w:sz w:val="28"/>
          <w:szCs w:val="28"/>
        </w:rPr>
        <w:t>生可报名应聘</w:t>
      </w:r>
      <w:r>
        <w:rPr>
          <w:rFonts w:ascii="仿宋_GB2312" w:hAnsi="仿宋_GB2312" w:eastAsia="仿宋_GB2312" w:cs="仿宋_GB2312"/>
          <w:color w:val="333333"/>
          <w:sz w:val="28"/>
          <w:szCs w:val="28"/>
        </w:rPr>
        <w:t>学历</w:t>
      </w:r>
      <w:r>
        <w:rPr>
          <w:rFonts w:hint="eastAsia" w:ascii="仿宋_GB2312" w:hAnsi="仿宋_GB2312" w:eastAsia="仿宋_GB2312" w:cs="仿宋_GB2312"/>
          <w:color w:val="333333"/>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14:paraId="4BFA0B6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14:paraId="0C2FA796">
      <w:pPr>
        <w:spacing w:line="500" w:lineRule="exact"/>
        <w:ind w:firstLine="560" w:firstLineChars="200"/>
        <w:rPr>
          <w:rFonts w:ascii="仿宋_GB2312" w:hAnsi="仿宋_GB2312" w:eastAsia="仿宋_GB2312" w:cs="仿宋_GB2312"/>
          <w:color w:val="FF0000"/>
          <w:sz w:val="28"/>
          <w:szCs w:val="28"/>
        </w:rPr>
      </w:pPr>
      <w:r>
        <w:rPr>
          <w:rFonts w:ascii="仿宋_GB2312" w:hAnsi="仿宋_GB2312" w:eastAsia="仿宋_GB2312" w:cs="仿宋_GB2312"/>
          <w:color w:val="FF0000"/>
          <w:sz w:val="28"/>
          <w:szCs w:val="28"/>
        </w:rPr>
        <w:t>对</w:t>
      </w:r>
      <w:r>
        <w:rPr>
          <w:rFonts w:hint="eastAsia" w:ascii="仿宋_GB2312" w:hAnsi="仿宋_GB2312" w:eastAsia="仿宋_GB2312" w:cs="仿宋_GB2312"/>
          <w:color w:val="FF0000"/>
          <w:sz w:val="28"/>
          <w:szCs w:val="28"/>
        </w:rPr>
        <w:t>个别涉及</w:t>
      </w:r>
      <w:r>
        <w:rPr>
          <w:rFonts w:ascii="仿宋_GB2312" w:hAnsi="仿宋_GB2312" w:eastAsia="仿宋_GB2312" w:cs="仿宋_GB2312"/>
          <w:color w:val="FF0000"/>
          <w:sz w:val="28"/>
          <w:szCs w:val="28"/>
        </w:rPr>
        <w:t>专业</w:t>
      </w:r>
      <w:r>
        <w:rPr>
          <w:rFonts w:hint="eastAsia" w:ascii="仿宋_GB2312" w:hAnsi="仿宋_GB2312" w:eastAsia="仿宋_GB2312" w:cs="仿宋_GB2312"/>
          <w:color w:val="FF0000"/>
          <w:sz w:val="28"/>
          <w:szCs w:val="28"/>
        </w:rPr>
        <w:t>名称及代码等</w:t>
      </w:r>
      <w:r>
        <w:rPr>
          <w:rFonts w:ascii="仿宋_GB2312" w:hAnsi="仿宋_GB2312" w:eastAsia="仿宋_GB2312" w:cs="仿宋_GB2312"/>
          <w:color w:val="FF0000"/>
          <w:sz w:val="28"/>
          <w:szCs w:val="28"/>
        </w:rPr>
        <w:t>调整的</w:t>
      </w:r>
      <w:r>
        <w:rPr>
          <w:rFonts w:hint="eastAsia" w:ascii="仿宋_GB2312" w:hAnsi="仿宋_GB2312" w:eastAsia="仿宋_GB2312" w:cs="仿宋_GB2312"/>
          <w:color w:val="FF0000"/>
          <w:sz w:val="28"/>
          <w:szCs w:val="28"/>
        </w:rPr>
        <w:t>，</w:t>
      </w:r>
      <w:r>
        <w:rPr>
          <w:rFonts w:ascii="仿宋_GB2312" w:hAnsi="仿宋_GB2312" w:eastAsia="仿宋_GB2312" w:cs="仿宋_GB2312"/>
          <w:color w:val="FF0000"/>
          <w:sz w:val="28"/>
          <w:szCs w:val="28"/>
        </w:rPr>
        <w:t>以国家教育部门发文为</w:t>
      </w:r>
      <w:r>
        <w:rPr>
          <w:rFonts w:hint="eastAsia" w:ascii="仿宋_GB2312" w:hAnsi="仿宋_GB2312" w:eastAsia="仿宋_GB2312" w:cs="仿宋_GB2312"/>
          <w:color w:val="FF0000"/>
          <w:sz w:val="28"/>
          <w:szCs w:val="28"/>
        </w:rPr>
        <w:t>依据进行认定</w:t>
      </w:r>
      <w:r>
        <w:rPr>
          <w:rFonts w:ascii="仿宋_GB2312" w:hAnsi="仿宋_GB2312" w:eastAsia="仿宋_GB2312" w:cs="仿宋_GB2312"/>
          <w:color w:val="FF0000"/>
          <w:sz w:val="28"/>
          <w:szCs w:val="28"/>
        </w:rPr>
        <w:t>。出现新旧专业比对认定争议时,原则上以</w:t>
      </w:r>
      <w:r>
        <w:rPr>
          <w:rFonts w:hint="eastAsia" w:ascii="仿宋_GB2312" w:hAnsi="仿宋_GB2312" w:eastAsia="仿宋_GB2312" w:cs="仿宋_GB2312"/>
          <w:color w:val="FF0000"/>
          <w:sz w:val="28"/>
          <w:szCs w:val="28"/>
        </w:rPr>
        <w:t>应聘人员</w:t>
      </w:r>
      <w:r>
        <w:rPr>
          <w:rFonts w:ascii="仿宋_GB2312" w:hAnsi="仿宋_GB2312" w:eastAsia="仿宋_GB2312" w:cs="仿宋_GB2312"/>
          <w:color w:val="FF0000"/>
          <w:sz w:val="28"/>
          <w:szCs w:val="28"/>
        </w:rPr>
        <w:t>就读高等学校依据教育部下发的关于新旧学科专业调整的有效文件或</w:t>
      </w:r>
      <w:r>
        <w:rPr>
          <w:rFonts w:hint="eastAsia" w:ascii="仿宋_GB2312" w:hAnsi="仿宋_GB2312" w:eastAsia="仿宋_GB2312" w:cs="仿宋_GB2312"/>
          <w:color w:val="FF0000"/>
          <w:sz w:val="28"/>
          <w:szCs w:val="28"/>
        </w:rPr>
        <w:t>应聘人员</w:t>
      </w:r>
      <w:r>
        <w:rPr>
          <w:rFonts w:ascii="仿宋_GB2312" w:hAnsi="仿宋_GB2312" w:eastAsia="仿宋_GB2312" w:cs="仿宋_GB2312"/>
          <w:color w:val="FF0000"/>
          <w:sz w:val="28"/>
          <w:szCs w:val="28"/>
        </w:rPr>
        <w:t>就读的高等学校依据省级以上教育部门有关文件</w:t>
      </w:r>
      <w:r>
        <w:rPr>
          <w:rFonts w:hint="eastAsia" w:ascii="仿宋_GB2312" w:hAnsi="仿宋_GB2312" w:eastAsia="仿宋_GB2312" w:cs="仿宋_GB2312"/>
          <w:color w:val="FF0000"/>
          <w:sz w:val="28"/>
          <w:szCs w:val="28"/>
        </w:rPr>
        <w:t>或</w:t>
      </w:r>
      <w:r>
        <w:rPr>
          <w:rFonts w:ascii="仿宋_GB2312" w:hAnsi="仿宋_GB2312" w:eastAsia="仿宋_GB2312" w:cs="仿宋_GB2312"/>
          <w:color w:val="FF0000"/>
          <w:sz w:val="28"/>
          <w:szCs w:val="28"/>
        </w:rPr>
        <w:t>有关规定出具的有效专业证明材料进行</w:t>
      </w:r>
      <w:r>
        <w:rPr>
          <w:rFonts w:hint="eastAsia" w:ascii="仿宋_GB2312" w:hAnsi="仿宋_GB2312" w:eastAsia="仿宋_GB2312" w:cs="仿宋_GB2312"/>
          <w:color w:val="FF0000"/>
          <w:sz w:val="28"/>
          <w:szCs w:val="28"/>
        </w:rPr>
        <w:t>综合认定，招聘单位及其主管部门不得简单以学科专业不在参考目录为由不予通过审查</w:t>
      </w:r>
      <w:r>
        <w:rPr>
          <w:rFonts w:ascii="仿宋_GB2312" w:hAnsi="仿宋_GB2312" w:eastAsia="仿宋_GB2312" w:cs="仿宋_GB2312"/>
          <w:color w:val="FF0000"/>
          <w:sz w:val="28"/>
          <w:szCs w:val="28"/>
        </w:rPr>
        <w:t>。</w:t>
      </w:r>
    </w:p>
    <w:p w14:paraId="6049BFF2">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、本次招聘中要求的有效身份证件指的是什么？</w:t>
      </w:r>
    </w:p>
    <w:p w14:paraId="40B57E8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767AB0EF">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09BCC274">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、本次招聘中政策性加分如何办理？</w:t>
      </w:r>
    </w:p>
    <w:p w14:paraId="14007DF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2CEE772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符合加分政策规定的应聘人员，在笔试总成绩（与面试成绩按比例折合前）中加分，不同加分项目可累计计算，最高不超过6分。</w:t>
      </w:r>
    </w:p>
    <w:p w14:paraId="20A7523F">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符合加分政策规定的应聘人员需提供以下材料：</w:t>
      </w:r>
    </w:p>
    <w:p w14:paraId="0459FAF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1.“大学生志愿服务西部计划”“三支一扶”计划</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“特岗教师计划”</w:t>
      </w:r>
      <w:r>
        <w:rPr>
          <w:rFonts w:hint="eastAsia" w:ascii="仿宋_GB2312" w:hAnsi="仿宋_GB2312" w:eastAsia="仿宋_GB2312" w:cs="仿宋_GB2312"/>
          <w:sz w:val="28"/>
          <w:szCs w:val="28"/>
        </w:rPr>
        <w:t>“应急岗位”“公卫特别岗”</w:t>
      </w:r>
      <w:r>
        <w:rPr>
          <w:rFonts w:ascii="仿宋_GB2312" w:hAnsi="仿宋_GB2312" w:eastAsia="仿宋_GB2312" w:cs="仿宋_GB2312"/>
          <w:sz w:val="28"/>
          <w:szCs w:val="28"/>
        </w:rPr>
        <w:t>人员：服务所在地县以上团委（或人社局、教育局</w:t>
      </w:r>
      <w:r>
        <w:rPr>
          <w:rFonts w:hint="eastAsia" w:ascii="仿宋_GB2312" w:hAnsi="仿宋_GB2312" w:eastAsia="仿宋_GB2312" w:cs="仿宋_GB2312"/>
          <w:sz w:val="28"/>
          <w:szCs w:val="28"/>
        </w:rPr>
        <w:t>、卫健委</w:t>
      </w:r>
      <w:r>
        <w:rPr>
          <w:rFonts w:ascii="仿宋_GB2312" w:hAnsi="仿宋_GB2312" w:eastAsia="仿宋_GB2312" w:cs="仿宋_GB2312"/>
          <w:sz w:val="28"/>
          <w:szCs w:val="28"/>
        </w:rPr>
        <w:t>）出具的证明、考核材料、服务合同（协议）和服务证书等材料原件及复印件。</w:t>
      </w:r>
    </w:p>
    <w:p w14:paraId="550A6E1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14:paraId="01102732">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机关事业单位在编人员以及从机关事业单位辞职、辞退、辞聘、解聘等人员，不享受</w:t>
      </w:r>
      <w:r>
        <w:rPr>
          <w:rFonts w:ascii="仿宋_GB2312" w:hAnsi="仿宋_GB2312" w:eastAsia="仿宋_GB2312" w:cs="仿宋_GB2312"/>
          <w:color w:val="FF0000"/>
          <w:sz w:val="28"/>
          <w:szCs w:val="28"/>
        </w:rPr>
        <w:t>加分</w:t>
      </w:r>
      <w:r>
        <w:rPr>
          <w:rFonts w:hint="eastAsia" w:ascii="仿宋_GB2312" w:hAnsi="仿宋_GB2312" w:eastAsia="仿宋_GB2312" w:cs="仿宋_GB2312"/>
          <w:color w:val="FF0000"/>
          <w:sz w:val="28"/>
          <w:szCs w:val="28"/>
        </w:rPr>
        <w:t>、定向</w:t>
      </w:r>
      <w:r>
        <w:rPr>
          <w:rFonts w:ascii="仿宋_GB2312" w:hAnsi="仿宋_GB2312" w:eastAsia="仿宋_GB2312" w:cs="仿宋_GB2312"/>
          <w:color w:val="FF0000"/>
          <w:sz w:val="28"/>
          <w:szCs w:val="28"/>
        </w:rPr>
        <w:t>政策</w:t>
      </w:r>
      <w:r>
        <w:rPr>
          <w:rFonts w:ascii="仿宋_GB2312" w:hAnsi="仿宋_GB2312" w:eastAsia="仿宋_GB2312" w:cs="仿宋_GB2312"/>
          <w:sz w:val="28"/>
          <w:szCs w:val="28"/>
        </w:rPr>
        <w:t>。</w:t>
      </w:r>
    </w:p>
    <w:p w14:paraId="2DDAD21A">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、本次招聘中需提供哪些面试资格审查材料？</w:t>
      </w:r>
    </w:p>
    <w:p w14:paraId="46C59136">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《应聘资格审查表》</w:t>
      </w:r>
      <w:r>
        <w:rPr>
          <w:rFonts w:ascii="仿宋_GB2312" w:hAnsi="仿宋_GB2312" w:eastAsia="仿宋_GB2312" w:cs="仿宋_GB2312"/>
          <w:sz w:val="28"/>
          <w:szCs w:val="28"/>
        </w:rPr>
        <w:t>》2份（请在</w:t>
      </w:r>
      <w:r>
        <w:rPr>
          <w:rFonts w:hint="eastAsia" w:ascii="仿宋_GB2312" w:hAnsi="仿宋_GB2312" w:eastAsia="仿宋_GB2312" w:cs="仿宋_GB2312"/>
          <w:sz w:val="28"/>
          <w:szCs w:val="28"/>
        </w:rPr>
        <w:t>成都人事考试网</w:t>
      </w:r>
      <w:r>
        <w:rPr>
          <w:rFonts w:ascii="仿宋_GB2312" w:hAnsi="仿宋_GB2312" w:eastAsia="仿宋_GB2312" w:cs="仿宋_GB2312"/>
          <w:sz w:val="28"/>
          <w:szCs w:val="28"/>
        </w:rPr>
        <w:t>自行打印并按要求张贴近期2寸免冠证件照片）；</w:t>
      </w:r>
    </w:p>
    <w:p w14:paraId="36BF676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14:paraId="1E12936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3.有效的学位证（有学位要求的，下同）、毕业证原件和复印件1份。</w:t>
      </w:r>
    </w:p>
    <w:p w14:paraId="011C6C16">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其中，参加面试资格审查时，</w:t>
      </w:r>
      <w:r>
        <w:rPr>
          <w:rFonts w:hint="eastAsia" w:ascii="仿宋_GB2312" w:hAnsi="仿宋_GB2312" w:eastAsia="仿宋_GB2312" w:cs="仿宋_GB2312"/>
          <w:sz w:val="28"/>
          <w:szCs w:val="28"/>
        </w:rPr>
        <w:t>2025年高校应届毕业生</w:t>
      </w:r>
      <w:r>
        <w:rPr>
          <w:rFonts w:ascii="仿宋_GB2312" w:hAnsi="仿宋_GB2312" w:eastAsia="仿宋_GB2312" w:cs="仿宋_GB2312"/>
          <w:sz w:val="28"/>
          <w:szCs w:val="28"/>
        </w:rPr>
        <w:t>尚未取得毕业证和学位证的，需提供学生证原件及复印件1份，学校主管毕业生就业工作部门开具的就读院系及专业等情况的证明原件。</w:t>
      </w:r>
    </w:p>
    <w:p w14:paraId="2460339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4.其他与报考资格相关的材料。</w:t>
      </w:r>
      <w:r>
        <w:rPr>
          <w:rFonts w:hint="eastAsia" w:ascii="仿宋_GB2312" w:hAnsi="仿宋_GB2312" w:eastAsia="仿宋_GB2312" w:cs="仿宋_GB2312"/>
          <w:sz w:val="28"/>
          <w:szCs w:val="28"/>
        </w:rPr>
        <w:t>其中</w:t>
      </w:r>
      <w:r>
        <w:rPr>
          <w:rFonts w:hint="eastAsia" w:ascii="仿宋_GB2312" w:hAnsi="仿宋_GB2312" w:eastAsia="仿宋_GB2312" w:cs="仿宋_GB2312"/>
          <w:color w:val="0000FF"/>
          <w:sz w:val="28"/>
          <w:szCs w:val="28"/>
        </w:rPr>
        <w:t>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6C2C84C7">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highlight w:val="yellow"/>
        </w:rPr>
        <w:t>符合条件的机关事业单位人员</w:t>
      </w:r>
      <w:r>
        <w:rPr>
          <w:rFonts w:hint="eastAsia" w:ascii="仿宋_GB2312" w:hAnsi="仿宋_GB2312" w:eastAsia="仿宋_GB2312" w:cs="仿宋_GB2312"/>
          <w:sz w:val="28"/>
          <w:szCs w:val="28"/>
          <w:highlight w:val="yellow"/>
        </w:rPr>
        <w:t>报名应聘</w:t>
      </w:r>
      <w:r>
        <w:rPr>
          <w:rFonts w:ascii="仿宋_GB2312" w:hAnsi="仿宋_GB2312" w:eastAsia="仿宋_GB2312" w:cs="仿宋_GB2312"/>
          <w:sz w:val="28"/>
          <w:szCs w:val="28"/>
          <w:highlight w:val="yellow"/>
        </w:rPr>
        <w:t>须按干部管理权限征得用人单位及相关部门书面同意。</w:t>
      </w:r>
    </w:p>
    <w:p w14:paraId="06E09BD2">
      <w:pPr>
        <w:spacing w:line="500" w:lineRule="exact"/>
        <w:ind w:firstLine="560" w:firstLineChars="200"/>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留学归国人员应持国家教育部留学服务中心认证学历、学位参加资格审查。</w:t>
      </w:r>
    </w:p>
    <w:p w14:paraId="2A29DF81">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七</w:t>
      </w:r>
      <w:r>
        <w:rPr>
          <w:rFonts w:ascii="黑体" w:hAnsi="黑体" w:eastAsia="黑体" w:cs="黑体"/>
          <w:sz w:val="28"/>
          <w:szCs w:val="28"/>
        </w:rPr>
        <w:t>、违纪违规及存在不诚信情形的应聘人员如何处理？</w:t>
      </w:r>
    </w:p>
    <w:p w14:paraId="542AC6C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01E06362">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54DBD732">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八</w:t>
      </w:r>
      <w:r>
        <w:rPr>
          <w:rFonts w:ascii="黑体" w:hAnsi="黑体" w:eastAsia="黑体" w:cs="黑体"/>
          <w:sz w:val="28"/>
          <w:szCs w:val="28"/>
        </w:rPr>
        <w:t>、申请减免报考费用</w:t>
      </w:r>
      <w:r>
        <w:rPr>
          <w:rFonts w:hint="eastAsia" w:ascii="黑体" w:hAnsi="黑体" w:eastAsia="黑体" w:cs="黑体"/>
          <w:sz w:val="28"/>
          <w:szCs w:val="28"/>
        </w:rPr>
        <w:t>办理手续</w:t>
      </w:r>
    </w:p>
    <w:p w14:paraId="4927A3D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1.适用人员：享受国家最低生活保障金的城镇、农村家庭考生；脱贫户家庭考生；父母双亡、父母一方为烈士或一级伤残军人，且生活十分困难家庭考生。</w:t>
      </w:r>
    </w:p>
    <w:p w14:paraId="58B39DD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2.办理地点：成都市人事考试中心（成都市青羊区清江东路118号3号楼一楼报名大厅，联系电话：028-61802812，</w:t>
      </w:r>
      <w:r>
        <w:rPr>
          <w:rFonts w:hint="eastAsia" w:ascii="仿宋_GB2312" w:eastAsia="仿宋_GB2312"/>
          <w:snapToGrid w:val="0"/>
          <w:color w:val="FF0000"/>
          <w:kern w:val="0"/>
          <w:sz w:val="32"/>
          <w:szCs w:val="32"/>
        </w:rPr>
        <w:t>028-61802797</w:t>
      </w:r>
      <w:r>
        <w:rPr>
          <w:rFonts w:hint="eastAsia" w:ascii="仿宋_GB2312" w:hAnsi="仿宋_GB2312" w:eastAsia="仿宋_GB2312" w:cs="仿宋_GB2312"/>
          <w:sz w:val="28"/>
          <w:szCs w:val="28"/>
        </w:rPr>
        <w:t>）。</w:t>
      </w:r>
    </w:p>
    <w:p w14:paraId="7416C03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3.办理时间：</w:t>
      </w:r>
      <w:r>
        <w:rPr>
          <w:rFonts w:hint="eastAsia" w:ascii="仿宋_GB2312" w:hAnsi="仿宋_GB2312" w:eastAsia="仿宋_GB2312" w:cs="仿宋_GB2312"/>
          <w:sz w:val="28"/>
          <w:szCs w:val="28"/>
          <w:highlight w:val="yellow"/>
        </w:rPr>
        <w:t>2025年5月6日-5月1</w:t>
      </w:r>
      <w:r>
        <w:rPr>
          <w:rFonts w:hint="eastAsia" w:ascii="仿宋_GB2312" w:hAnsi="仿宋_GB2312" w:eastAsia="仿宋_GB2312" w:cs="仿宋_GB2312"/>
          <w:sz w:val="28"/>
          <w:szCs w:val="28"/>
          <w:highlight w:val="yellow"/>
          <w:lang w:val="en-US" w:eastAsia="zh-CN"/>
        </w:rPr>
        <w:t>4</w:t>
      </w:r>
      <w:r>
        <w:rPr>
          <w:rFonts w:hint="eastAsia" w:ascii="仿宋_GB2312" w:hAnsi="仿宋_GB2312" w:eastAsia="仿宋_GB2312" w:cs="仿宋_GB2312"/>
          <w:sz w:val="28"/>
          <w:szCs w:val="28"/>
          <w:highlight w:val="yellow"/>
        </w:rPr>
        <w:t>日（工作日每日9点-17点），5月</w:t>
      </w:r>
      <w:r>
        <w:rPr>
          <w:rFonts w:hint="eastAsia" w:ascii="仿宋_GB2312" w:hAnsi="仿宋_GB2312" w:eastAsia="仿宋_GB2312" w:cs="仿宋_GB2312"/>
          <w:color w:val="FF0000"/>
          <w:sz w:val="28"/>
          <w:szCs w:val="28"/>
          <w:highlight w:val="yellow"/>
        </w:rPr>
        <w:t>1</w:t>
      </w:r>
      <w:r>
        <w:rPr>
          <w:rFonts w:hint="eastAsia" w:ascii="仿宋_GB2312" w:hAnsi="仿宋_GB2312" w:eastAsia="仿宋_GB2312" w:cs="仿宋_GB2312"/>
          <w:color w:val="FF0000"/>
          <w:sz w:val="28"/>
          <w:szCs w:val="28"/>
          <w:highlight w:val="yellow"/>
          <w:lang w:val="en-US" w:eastAsia="zh-CN"/>
        </w:rPr>
        <w:t>4</w:t>
      </w:r>
      <w:bookmarkStart w:id="0" w:name="_GoBack"/>
      <w:bookmarkEnd w:id="0"/>
      <w:r>
        <w:rPr>
          <w:rFonts w:hint="eastAsia" w:ascii="仿宋_GB2312" w:hAnsi="仿宋_GB2312" w:eastAsia="仿宋_GB2312" w:cs="仿宋_GB2312"/>
          <w:color w:val="FF0000"/>
          <w:sz w:val="28"/>
          <w:szCs w:val="28"/>
          <w:highlight w:val="yellow"/>
        </w:rPr>
        <w:t>日17点</w:t>
      </w:r>
      <w:r>
        <w:rPr>
          <w:rFonts w:hint="eastAsia" w:ascii="仿宋_GB2312" w:hAnsi="仿宋_GB2312" w:eastAsia="仿宋_GB2312" w:cs="仿宋_GB2312"/>
          <w:sz w:val="28"/>
          <w:szCs w:val="28"/>
        </w:rPr>
        <w:t>以后提交材料或者提供材料不符合相关要求的不做减免处理。</w:t>
      </w:r>
    </w:p>
    <w:p w14:paraId="1C0AA06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4.所需材料：</w:t>
      </w:r>
    </w:p>
    <w:p w14:paraId="665C48C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6E862CA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（2）脱贫户家庭考生，凭乡（镇）政府、街道办事处和学校学生处出具的原农村建档立卡贫困户证明、特殊困难证明；</w:t>
      </w:r>
    </w:p>
    <w:p w14:paraId="1EE34F9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09612A8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5.办理程序：</w:t>
      </w:r>
    </w:p>
    <w:p w14:paraId="6F2093C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（1）首先在网上完成报名，需先缴纳报名费用。</w:t>
      </w:r>
    </w:p>
    <w:p w14:paraId="1C503B4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14:paraId="41198CD2">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九、其他</w:t>
      </w:r>
    </w:p>
    <w:p w14:paraId="320065F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年；专技12级以上或以下，均含专技12级，以此类推</w:t>
      </w:r>
      <w:r>
        <w:rPr>
          <w:rFonts w:hint="eastAsia" w:ascii="仿宋_GB2312" w:hAnsi="仿宋_GB2312" w:eastAsia="仿宋_GB2312" w:cs="仿宋_GB2312"/>
          <w:sz w:val="28"/>
          <w:szCs w:val="28"/>
        </w:rPr>
        <w:t>；招聘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rPr>
        <w:t>报名</w:t>
      </w:r>
      <w:r>
        <w:rPr>
          <w:rFonts w:ascii="仿宋_GB2312" w:hAnsi="仿宋_GB2312" w:eastAsia="仿宋_GB2312" w:cs="仿宋_GB2312"/>
          <w:sz w:val="28"/>
          <w:szCs w:val="28"/>
        </w:rPr>
        <w:t>之日起算。</w:t>
      </w:r>
    </w:p>
    <w:p w14:paraId="5D02A0BF">
      <w:pPr>
        <w:spacing w:line="570" w:lineRule="exact"/>
        <w:ind w:firstLine="640" w:firstLineChars="200"/>
        <w:rPr>
          <w:rFonts w:ascii="Times New Roman" w:hAnsi="Times New Roman" w:eastAsia="方正仿宋_GB2312"/>
          <w:snapToGrid w:val="0"/>
          <w:kern w:val="0"/>
          <w:sz w:val="32"/>
          <w:szCs w:val="32"/>
        </w:rPr>
      </w:pPr>
    </w:p>
    <w:p w14:paraId="4705DE45">
      <w:pPr>
        <w:spacing w:line="570" w:lineRule="exact"/>
        <w:ind w:firstLine="4800" w:firstLineChars="1500"/>
        <w:rPr>
          <w:rFonts w:ascii="Times New Roman" w:hAnsi="Times New Roman" w:eastAsia="方正仿宋_GB2312"/>
          <w:snapToGrid w:val="0"/>
          <w:kern w:val="0"/>
          <w:sz w:val="32"/>
          <w:szCs w:val="32"/>
        </w:rPr>
      </w:pPr>
    </w:p>
    <w:p w14:paraId="50D6997B">
      <w:pPr>
        <w:ind w:firstLine="453"/>
      </w:pPr>
    </w:p>
    <w:p w14:paraId="33091CF6"/>
    <w:p w14:paraId="0637C04C"/>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5718E09-29E7-41CA-A038-D5B8218D697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FE1AFFAA-4887-48BE-8B76-3B1D747470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49A2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310E09">
                          <w:pPr>
                            <w:pStyle w:val="3"/>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joinstyle="miter"/>
              <v:imagedata o:title=""/>
              <o:lock v:ext="edit"/>
              <v:textbox inset="0mm,0mm,0mm,0mm" style="mso-fit-shape-to-text:t;">
                <w:txbxContent>
                  <w:p w14:paraId="6F310E09">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265AE"/>
    <w:rsid w:val="7922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2025-04-23T08:02:00Z</dcterms:created>
  <dc:creator>杨斯QIAN.</dc:creator>
  <cp:lastModifiedBy>杨斯QIAN.</cp:lastModifiedBy>
  <dcterms:modified xsi:type="dcterms:W3CDTF">2025-04-23T08:03:55Z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2C3CEA58A7964F8EAB1EE68F29BE87C9_11</vt:lpwstr>
  </property>
  <property fmtid="{D5CDD505-2E9C-101B-9397-08002B2CF9AE}" pid="4" name="KSOTemplateDocerSaveRecord">
    <vt:lpwstr>eyJoZGlkIjoiODViY2JkMjU3NGYzZTEwMzZmMGFkZWViYmNkYWU3NDIiLCJ1c2VySWQiOiIzMjEwNzQ2MTIifQ==</vt:lpwstr>
  </property>
</Properties>
</file>